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80678CB" w14:textId="77777777">
      <w:pPr>
        <w:pStyle w:val="Title"/>
        <w:rPr>
          <w:caps w:val="0"/>
          <w:kern w:val="0"/>
        </w:rPr>
      </w:pPr>
      <w:r w:rsidRPr="002F6A28">
        <w:rPr>
          <w:caps w:val="0"/>
          <w:kern w:val="0"/>
        </w:rPr>
        <w:t>NOTIFICATION</w:t>
      </w:r>
    </w:p>
    <w:p w:rsidR="009239F7" w:rsidRPr="002F6A28" w:rsidP="002F6A28" w14:paraId="4B54C289" w14:textId="77777777">
      <w:pPr>
        <w:jc w:val="center"/>
      </w:pPr>
      <w:r w:rsidRPr="002F6A28">
        <w:t>The following notification is being circulated in accordance with Article 10.6</w:t>
      </w:r>
    </w:p>
    <w:p w:rsidR="009239F7" w:rsidRPr="002F6A28" w:rsidP="002F6A28" w14:paraId="0DB7E3D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766E7A7" w14:textId="77777777" w:rsidTr="00DB13FE">
        <w:tblPrEx>
          <w:tblW w:w="5000" w:type="pct"/>
          <w:tblLayout w:type="fixed"/>
          <w:tblLook w:val="0000"/>
        </w:tblPrEx>
        <w:tc>
          <w:tcPr>
            <w:tcW w:w="607" w:type="dxa"/>
            <w:tcBorders>
              <w:top w:val="double" w:sz="4" w:space="0" w:color="auto"/>
            </w:tcBorders>
          </w:tcPr>
          <w:p w:rsidR="00F85C99" w:rsidRPr="002F6A28" w:rsidP="002F6A28" w14:paraId="62ACF31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FF7A655"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7AB4DBF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DC27BD2" w14:textId="77777777" w:rsidTr="00DB13FE">
        <w:tblPrEx>
          <w:tblW w:w="5000" w:type="pct"/>
          <w:tblLayout w:type="fixed"/>
          <w:tblLook w:val="0000"/>
        </w:tblPrEx>
        <w:tc>
          <w:tcPr>
            <w:tcW w:w="607" w:type="dxa"/>
          </w:tcPr>
          <w:p w:rsidR="00F85C99" w:rsidRPr="002F6A28" w:rsidP="002F6A28" w14:paraId="11D19437" w14:textId="77777777">
            <w:pPr>
              <w:spacing w:before="120" w:after="120"/>
              <w:jc w:val="left"/>
            </w:pPr>
            <w:r w:rsidRPr="002F6A28">
              <w:rPr>
                <w:b/>
              </w:rPr>
              <w:t>2.</w:t>
            </w:r>
          </w:p>
        </w:tc>
        <w:tc>
          <w:tcPr>
            <w:tcW w:w="8373" w:type="dxa"/>
          </w:tcPr>
          <w:p w:rsidR="00F85C99" w:rsidRPr="002F6A28" w:rsidP="000C3B6C" w14:paraId="302FAB58" w14:textId="77777777">
            <w:pPr>
              <w:spacing w:before="120" w:after="120"/>
            </w:pPr>
            <w:r w:rsidRPr="002F6A28">
              <w:rPr>
                <w:b/>
              </w:rPr>
              <w:t>Agency responsible:</w:t>
            </w:r>
            <w:r w:rsidRPr="00C379C8" w:rsidR="00EE3A11">
              <w:t xml:space="preserve"> </w:t>
            </w:r>
          </w:p>
          <w:p w:rsidR="00EE3A11" w:rsidRPr="00C379C8" w:rsidP="000C3B6C" w14:paraId="2FCD0CA3" w14:textId="77777777">
            <w:r w:rsidRPr="00C379C8">
              <w:t>European Commission</w:t>
            </w:r>
          </w:p>
          <w:p w:rsidR="00EE3A11" w:rsidRPr="00C379C8" w:rsidP="000C3B6C" w14:paraId="686A8F7F" w14:textId="77777777">
            <w:r w:rsidRPr="00C379C8">
              <w:t>EU-TBT Enquiry Point,</w:t>
            </w:r>
          </w:p>
          <w:p w:rsidR="00EE3A11" w:rsidRPr="00C379C8" w:rsidP="000C3B6C" w14:paraId="5B0FE383" w14:textId="77777777">
            <w:r w:rsidRPr="00C379C8">
              <w:t>Fax: +(32) 2 299 80 43,</w:t>
            </w:r>
          </w:p>
          <w:p w:rsidR="00EE3A11" w:rsidRPr="00C379C8" w:rsidP="000C3B6C" w14:paraId="0B97F368" w14:textId="77777777">
            <w:r w:rsidRPr="00C379C8">
              <w:t xml:space="preserve">E-mail: </w:t>
            </w:r>
            <w:hyperlink r:id="rId5" w:history="1">
              <w:r w:rsidRPr="00C379C8">
                <w:rPr>
                  <w:color w:val="0000FF"/>
                  <w:u w:val="single"/>
                </w:rPr>
                <w:t>grow-eu-tbt@ec.europa.eu</w:t>
              </w:r>
            </w:hyperlink>
          </w:p>
          <w:p w:rsidR="00EE3A11" w:rsidRPr="00C379C8" w:rsidP="000C3B6C" w14:paraId="5F6195F3"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110592A1" w14:textId="77777777" w:rsidTr="00DB13FE">
        <w:tblPrEx>
          <w:tblW w:w="5000" w:type="pct"/>
          <w:tblLayout w:type="fixed"/>
          <w:tblLook w:val="0000"/>
        </w:tblPrEx>
        <w:tc>
          <w:tcPr>
            <w:tcW w:w="607" w:type="dxa"/>
          </w:tcPr>
          <w:p w:rsidR="00F85C99" w:rsidRPr="002F6A28" w:rsidP="002F6A28" w14:paraId="6914FA62" w14:textId="77777777">
            <w:pPr>
              <w:spacing w:before="120" w:after="120"/>
              <w:jc w:val="left"/>
              <w:rPr>
                <w:b/>
              </w:rPr>
            </w:pPr>
            <w:r w:rsidRPr="002F6A28">
              <w:rPr>
                <w:b/>
              </w:rPr>
              <w:t>3.</w:t>
            </w:r>
          </w:p>
        </w:tc>
        <w:tc>
          <w:tcPr>
            <w:tcW w:w="8373" w:type="dxa"/>
          </w:tcPr>
          <w:p w:rsidR="00F85C99" w:rsidRPr="0058336F" w:rsidP="002F6A28" w14:paraId="64D66C4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41CB6FA" w14:textId="77777777" w:rsidTr="00DB13FE">
        <w:tblPrEx>
          <w:tblW w:w="5000" w:type="pct"/>
          <w:tblLayout w:type="fixed"/>
          <w:tblLook w:val="0000"/>
        </w:tblPrEx>
        <w:tc>
          <w:tcPr>
            <w:tcW w:w="607" w:type="dxa"/>
          </w:tcPr>
          <w:p w:rsidR="00F85C99" w:rsidRPr="002F6A28" w:rsidP="002F6A28" w14:paraId="1DD6D700" w14:textId="77777777">
            <w:pPr>
              <w:spacing w:before="120" w:after="120"/>
              <w:jc w:val="left"/>
            </w:pPr>
            <w:r w:rsidRPr="002F6A28">
              <w:rPr>
                <w:b/>
              </w:rPr>
              <w:t>4.</w:t>
            </w:r>
          </w:p>
        </w:tc>
        <w:tc>
          <w:tcPr>
            <w:tcW w:w="8373" w:type="dxa"/>
          </w:tcPr>
          <w:p w:rsidR="00F85C99" w:rsidRPr="002F6A28" w:rsidP="002F6A28" w14:paraId="5602CA6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substances classified as drug precursors</w:t>
            </w:r>
          </w:p>
        </w:tc>
      </w:tr>
      <w:tr w14:paraId="2ACD8C7E" w14:textId="77777777" w:rsidTr="00DB13FE">
        <w:tblPrEx>
          <w:tblW w:w="5000" w:type="pct"/>
          <w:tblLayout w:type="fixed"/>
          <w:tblLook w:val="0000"/>
        </w:tblPrEx>
        <w:tc>
          <w:tcPr>
            <w:tcW w:w="607" w:type="dxa"/>
          </w:tcPr>
          <w:p w:rsidR="00F85C99" w:rsidRPr="002F6A28" w:rsidP="002F6A28" w14:paraId="1CA46692" w14:textId="77777777">
            <w:pPr>
              <w:spacing w:before="120" w:after="120"/>
              <w:jc w:val="left"/>
            </w:pPr>
            <w:r w:rsidRPr="002F6A28">
              <w:rPr>
                <w:b/>
              </w:rPr>
              <w:t>5.</w:t>
            </w:r>
          </w:p>
        </w:tc>
        <w:tc>
          <w:tcPr>
            <w:tcW w:w="8373" w:type="dxa"/>
          </w:tcPr>
          <w:p w:rsidR="00F85C99" w:rsidP="002F6A28" w14:paraId="69FFA90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amending Regulation (EC) No 273/2004 of the European Parliament and of the Council and Council Regulation (EC) No 111/2005 as regards the inclusion of certain precursors of synthetic cathinone and amphetamine in the list of scheduled substances; (6 page(s), in English), (3 page(s), in English)</w:t>
            </w:r>
          </w:p>
          <w:p w:rsidR="000C3B6C" w:rsidRPr="000C3B6C" w:rsidP="002F6A28" w14:paraId="1004886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F6F31" w:rsidRPr="00CE6C29" w:rsidP="002F6A28" w14:paraId="18F09701" w14:textId="77777777">
            <w:pPr>
              <w:pBdr>
                <w:top w:val="none" w:sz="0" w:space="4" w:color="auto"/>
              </w:pBdr>
              <w:rPr>
                <w:iCs/>
              </w:rPr>
            </w:pPr>
            <w:hyperlink r:id="rId7" w:tgtFrame="_blank" w:history="1">
              <w:r w:rsidRPr="00CE6C29">
                <w:rPr>
                  <w:iCs/>
                  <w:color w:val="0000FF"/>
                  <w:u w:val="single"/>
                </w:rPr>
                <w:t>https://members.wto.org/crnattachments/2025/TBT/EEC/25_07526_00_e.pdf</w:t>
              </w:r>
            </w:hyperlink>
          </w:p>
          <w:p w:rsidR="002F6F31" w:rsidRPr="00CE6C29" w:rsidP="002F6A28" w14:paraId="60DDC9D1" w14:textId="77777777">
            <w:pPr>
              <w:pBdr>
                <w:bottom w:val="none" w:sz="0" w:space="4" w:color="auto"/>
              </w:pBdr>
              <w:rPr>
                <w:iCs/>
              </w:rPr>
            </w:pPr>
            <w:hyperlink r:id="rId8" w:tgtFrame="_blank" w:history="1">
              <w:r w:rsidRPr="00CE6C29">
                <w:rPr>
                  <w:iCs/>
                  <w:color w:val="0000FF"/>
                  <w:u w:val="single"/>
                </w:rPr>
                <w:t>https://members.wto.org/crnattachments/2025/TBT/EEC/25_07526_01_e.pdf</w:t>
              </w:r>
            </w:hyperlink>
          </w:p>
          <w:p w:rsidR="002F6F31" w:rsidRPr="00CE6C29" w:rsidP="002F6A28" w14:paraId="37944991" w14:textId="77777777">
            <w:pPr>
              <w:rPr>
                <w:iCs/>
              </w:rPr>
            </w:pPr>
            <w:r w:rsidRPr="00CE6C29">
              <w:rPr>
                <w:iCs/>
              </w:rPr>
              <w:t>European Commission</w:t>
            </w:r>
          </w:p>
          <w:p w:rsidR="002F6F31" w:rsidRPr="00CE6C29" w:rsidP="002F6A28" w14:paraId="4ED71611" w14:textId="77777777">
            <w:pPr>
              <w:rPr>
                <w:iCs/>
              </w:rPr>
            </w:pPr>
            <w:r w:rsidRPr="00CE6C29">
              <w:rPr>
                <w:iCs/>
              </w:rPr>
              <w:t>EU-TBT Enquiry Point</w:t>
            </w:r>
          </w:p>
          <w:p w:rsidR="002F6F31" w:rsidRPr="00CE6C29" w:rsidP="002F6A28" w14:paraId="2C767493" w14:textId="77777777">
            <w:pPr>
              <w:rPr>
                <w:iCs/>
              </w:rPr>
            </w:pPr>
            <w:r w:rsidRPr="00CE6C29">
              <w:rPr>
                <w:iCs/>
              </w:rPr>
              <w:t>Fax: + (32) 2 299 80 43</w:t>
            </w:r>
          </w:p>
          <w:p w:rsidR="002F6F31" w:rsidRPr="00CE6C29" w:rsidP="002F6A28" w14:paraId="5763028B" w14:textId="77777777">
            <w:pPr>
              <w:rPr>
                <w:iCs/>
              </w:rPr>
            </w:pPr>
            <w:r w:rsidRPr="00CE6C29">
              <w:rPr>
                <w:iCs/>
              </w:rPr>
              <w:t xml:space="preserve">E-mail: </w:t>
            </w:r>
            <w:hyperlink r:id="rId5" w:history="1">
              <w:r w:rsidRPr="00CE6C29">
                <w:rPr>
                  <w:iCs/>
                  <w:color w:val="0000FF"/>
                  <w:u w:val="single"/>
                </w:rPr>
                <w:t>grow-eu-tbt@ec.europa.eu</w:t>
              </w:r>
            </w:hyperlink>
          </w:p>
          <w:p w:rsidR="002F6F31" w:rsidRPr="00CE6C29" w:rsidP="002F6A28" w14:paraId="0C6571DB"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7B0BE5E3" w14:textId="77777777" w:rsidTr="00DB13FE">
        <w:tblPrEx>
          <w:tblW w:w="5000" w:type="pct"/>
          <w:tblLayout w:type="fixed"/>
          <w:tblLook w:val="0000"/>
        </w:tblPrEx>
        <w:tc>
          <w:tcPr>
            <w:tcW w:w="607" w:type="dxa"/>
          </w:tcPr>
          <w:p w:rsidR="00F85C99" w:rsidRPr="002F6A28" w:rsidP="002F6A28" w14:paraId="2A937E83" w14:textId="77777777">
            <w:pPr>
              <w:spacing w:before="120" w:after="120"/>
              <w:jc w:val="left"/>
              <w:rPr>
                <w:b/>
              </w:rPr>
            </w:pPr>
            <w:r w:rsidRPr="002F6A28">
              <w:rPr>
                <w:b/>
              </w:rPr>
              <w:t>6.</w:t>
            </w:r>
          </w:p>
        </w:tc>
        <w:tc>
          <w:tcPr>
            <w:tcW w:w="8373" w:type="dxa"/>
          </w:tcPr>
          <w:p w:rsidR="00F85C99" w:rsidRPr="002F6A28" w:rsidP="002F6A28" w14:paraId="77693F07" w14:textId="77777777">
            <w:pPr>
              <w:spacing w:before="120" w:after="120"/>
              <w:rPr>
                <w:b/>
              </w:rPr>
            </w:pPr>
            <w:r w:rsidRPr="002F6A28">
              <w:rPr>
                <w:b/>
              </w:rPr>
              <w:t>Description of content:</w:t>
            </w:r>
            <w:r w:rsidRPr="00C379C8" w:rsidR="00FE448B">
              <w:t xml:space="preserve"> This draft Commission Regulation adds 9 substances to Category 1 of the list of scheduled substances in Regulation (EC) No 111/2005 laying down rules for the monitoring of trade between the Community and third countries in drug precursors.</w:t>
            </w:r>
          </w:p>
          <w:p w:rsidR="00FE448B" w:rsidRPr="00C379C8" w:rsidP="002F6A28" w14:paraId="1BA3EEC6" w14:textId="77777777">
            <w:pPr>
              <w:spacing w:before="120" w:after="120"/>
            </w:pPr>
            <w:r w:rsidRPr="00C379C8">
              <w:t>Operators engaged in import, export or intermediary activities involving scheduled substances listed in Category 1 have the obligation to hold a licence and request for import and export authorisations.</w:t>
            </w:r>
          </w:p>
        </w:tc>
      </w:tr>
      <w:tr w14:paraId="167452FC" w14:textId="77777777" w:rsidTr="00DB13FE">
        <w:tblPrEx>
          <w:tblW w:w="5000" w:type="pct"/>
          <w:tblLayout w:type="fixed"/>
          <w:tblLook w:val="0000"/>
        </w:tblPrEx>
        <w:tc>
          <w:tcPr>
            <w:tcW w:w="607" w:type="dxa"/>
          </w:tcPr>
          <w:p w:rsidR="00F85C99" w:rsidRPr="002F6A28" w:rsidP="002F6A28" w14:paraId="127F2C01" w14:textId="77777777">
            <w:pPr>
              <w:spacing w:before="120" w:after="120"/>
              <w:jc w:val="left"/>
              <w:rPr>
                <w:b/>
              </w:rPr>
            </w:pPr>
            <w:r w:rsidRPr="002F6A28">
              <w:rPr>
                <w:b/>
              </w:rPr>
              <w:t>7.</w:t>
            </w:r>
          </w:p>
        </w:tc>
        <w:tc>
          <w:tcPr>
            <w:tcW w:w="8373" w:type="dxa"/>
          </w:tcPr>
          <w:p w:rsidR="00F85C99" w:rsidRPr="002F6A28" w:rsidP="002F6A28" w14:paraId="33C7E3A0" w14:textId="77777777">
            <w:pPr>
              <w:spacing w:before="120" w:after="120"/>
              <w:rPr>
                <w:b/>
              </w:rPr>
            </w:pPr>
            <w:r w:rsidRPr="002F6A28">
              <w:rPr>
                <w:b/>
              </w:rPr>
              <w:t>Objective and rationale, including the nature of urgent problems where applicable:</w:t>
            </w:r>
            <w:r w:rsidRPr="00C379C8" w:rsidR="00EE3A11">
              <w:t xml:space="preserve"> The 9 substances are precursors of synthetic cathinone drugs and amphetamine. The use of these drugs is causing serious social and public health problems in some regions of the Union. Therefore, reinforcing the controls is an appropriate measure </w:t>
            </w:r>
            <w:r w:rsidRPr="00C379C8" w:rsidR="00EE3A11">
              <w:t>to address those risks, and any additional restriction on trade is justified by the objectives pursued. ; Protection of human health or safety; Harmonization</w:t>
            </w:r>
          </w:p>
        </w:tc>
      </w:tr>
      <w:tr w14:paraId="12165AE6" w14:textId="77777777" w:rsidTr="00DB13FE">
        <w:tblPrEx>
          <w:tblW w:w="5000" w:type="pct"/>
          <w:tblLayout w:type="fixed"/>
          <w:tblLook w:val="0000"/>
        </w:tblPrEx>
        <w:tc>
          <w:tcPr>
            <w:tcW w:w="607" w:type="dxa"/>
          </w:tcPr>
          <w:p w:rsidR="00F85C99" w:rsidRPr="002F6A28" w:rsidP="009E75ED" w14:paraId="07A04991" w14:textId="77777777">
            <w:pPr>
              <w:spacing w:before="120" w:after="120"/>
              <w:jc w:val="left"/>
              <w:rPr>
                <w:b/>
              </w:rPr>
            </w:pPr>
            <w:r w:rsidRPr="002F6A28">
              <w:rPr>
                <w:b/>
              </w:rPr>
              <w:t>8.</w:t>
            </w:r>
          </w:p>
        </w:tc>
        <w:tc>
          <w:tcPr>
            <w:tcW w:w="8373" w:type="dxa"/>
          </w:tcPr>
          <w:p w:rsidR="000C3B6C" w:rsidRPr="00EC00D2" w:rsidP="007F13E8" w14:paraId="2B33061C" w14:textId="77777777">
            <w:pPr>
              <w:spacing w:before="120" w:after="120"/>
              <w:rPr>
                <w:bCs/>
              </w:rPr>
            </w:pPr>
            <w:r w:rsidRPr="002F6A28">
              <w:rPr>
                <w:b/>
              </w:rPr>
              <w:t>Relevant documents:</w:t>
            </w:r>
            <w:r w:rsidRPr="002F6A28" w:rsidR="00EE3A11">
              <w:t xml:space="preserve"> </w:t>
            </w:r>
          </w:p>
          <w:p w:rsidR="00EE3A11" w:rsidRPr="002F6A28" w:rsidP="007F13E8" w14:paraId="5F7E301E" w14:textId="77777777">
            <w:pPr>
              <w:spacing w:before="120" w:after="120"/>
            </w:pPr>
            <w:r w:rsidRPr="002F6A28">
              <w:t>Article 12 of the UN Convention against Illicit Traffic in Narcotic Drugs and Psychotropic Substances of 19.12.1988;</w:t>
            </w:r>
          </w:p>
          <w:p w:rsidR="00EE3A11" w:rsidRPr="002F6A28" w:rsidP="007F13E8" w14:paraId="0708E7D6" w14:textId="77777777">
            <w:pPr>
              <w:spacing w:before="120" w:after="120"/>
            </w:pPr>
            <w:r w:rsidRPr="002F6A28">
              <w:t>Council Regulation (EC) No 111/2005 laying down rules for the monitoring of trade between the Union and third countries in drug precursors.</w:t>
            </w:r>
          </w:p>
          <w:p w:rsidR="00EE3A11" w:rsidRPr="002F6A28" w:rsidP="007F13E8" w14:paraId="7BB2B6A9" w14:textId="77777777">
            <w:pPr>
              <w:spacing w:before="120" w:after="120"/>
            </w:pPr>
            <w:hyperlink r:id="rId9" w:history="1">
              <w:r w:rsidRPr="002F6A28">
                <w:rPr>
                  <w:color w:val="0000FF"/>
                  <w:u w:val="single"/>
                </w:rPr>
                <w:t>http://eur-lex.europa.eu/legal-content/EN/TXT/?qid=1426599802066&amp;uri=CELEX:32005R0111</w:t>
              </w:r>
            </w:hyperlink>
          </w:p>
        </w:tc>
      </w:tr>
      <w:tr w14:paraId="6BA2728B" w14:textId="77777777" w:rsidTr="00DB13FE">
        <w:tblPrEx>
          <w:tblW w:w="5000" w:type="pct"/>
          <w:tblLayout w:type="fixed"/>
          <w:tblLook w:val="0000"/>
        </w:tblPrEx>
        <w:tc>
          <w:tcPr>
            <w:tcW w:w="607" w:type="dxa"/>
          </w:tcPr>
          <w:p w:rsidR="00EE3A11" w:rsidRPr="002F6A28" w:rsidP="002F6A28" w14:paraId="7EA9D370" w14:textId="77777777">
            <w:pPr>
              <w:spacing w:before="120" w:after="120"/>
              <w:jc w:val="left"/>
              <w:rPr>
                <w:b/>
              </w:rPr>
            </w:pPr>
            <w:r w:rsidRPr="002F6A28">
              <w:rPr>
                <w:b/>
              </w:rPr>
              <w:t>9.</w:t>
            </w:r>
          </w:p>
        </w:tc>
        <w:tc>
          <w:tcPr>
            <w:tcW w:w="8373" w:type="dxa"/>
          </w:tcPr>
          <w:p w:rsidR="00EE3A11" w:rsidRPr="002F6A28" w:rsidP="008953C4" w14:paraId="54215E22" w14:textId="77777777">
            <w:pPr>
              <w:spacing w:before="120" w:after="120"/>
            </w:pPr>
            <w:r w:rsidRPr="002F6A28">
              <w:rPr>
                <w:b/>
              </w:rPr>
              <w:t>Proposed date of adoption:</w:t>
            </w:r>
            <w:r w:rsidRPr="00C379C8">
              <w:t xml:space="preserve"> Q1 2026</w:t>
            </w:r>
          </w:p>
          <w:p w:rsidR="00EE3A11" w:rsidRPr="002F6A28" w:rsidP="008953C4" w14:paraId="1F250E4D" w14:textId="77777777">
            <w:pPr>
              <w:spacing w:after="120"/>
            </w:pPr>
            <w:r w:rsidRPr="002F6A28">
              <w:rPr>
                <w:b/>
              </w:rPr>
              <w:t>Proposed date of entry into force:</w:t>
            </w:r>
            <w:r w:rsidRPr="00C379C8">
              <w:t xml:space="preserve"> The provisions will enter into force 20 days after their publication in the Official Journal of the EU, and will apply 6 months later, to give sufficient time to operators to comply with their new obligations.</w:t>
            </w:r>
          </w:p>
        </w:tc>
      </w:tr>
      <w:tr w14:paraId="0A918C18" w14:textId="77777777" w:rsidTr="00DB13FE">
        <w:tblPrEx>
          <w:tblW w:w="5000" w:type="pct"/>
          <w:tblLayout w:type="fixed"/>
          <w:tblLook w:val="0000"/>
        </w:tblPrEx>
        <w:tc>
          <w:tcPr>
            <w:tcW w:w="607" w:type="dxa"/>
            <w:tcBorders>
              <w:bottom w:val="double" w:sz="4" w:space="0" w:color="auto"/>
            </w:tcBorders>
          </w:tcPr>
          <w:p w:rsidR="00F85C99" w:rsidRPr="002F6A28" w:rsidP="002F6A28" w14:paraId="52111EC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D6A1D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60C98DD" w14:textId="77777777">
            <w:pPr>
              <w:spacing w:before="120" w:after="120"/>
              <w:rPr>
                <w:bCs/>
              </w:rPr>
            </w:pPr>
            <w:r w:rsidRPr="002F6A28">
              <w:rPr>
                <w:b/>
              </w:rPr>
              <w:t>Final date for comments:</w:t>
            </w:r>
            <w:r w:rsidRPr="00C379C8" w:rsidR="00EE3A11">
              <w:t xml:space="preserve"> 5 January 2026</w:t>
            </w:r>
          </w:p>
          <w:p w:rsidR="000C3B6C" w:rsidRPr="00E3324D" w:rsidP="000C3B6C" w14:paraId="6C51409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42870D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E7DF619" w14:textId="77777777">
            <w:r w:rsidRPr="00CE6C29">
              <w:t>European Commission,</w:t>
            </w:r>
          </w:p>
          <w:p w:rsidR="00CE6C29" w:rsidRPr="00CE6C29" w:rsidP="000C3B6C" w14:paraId="6156D893" w14:textId="77777777">
            <w:r w:rsidRPr="00CE6C29">
              <w:t>EU-TBT Enquiry Point,</w:t>
            </w:r>
          </w:p>
          <w:p w:rsidR="00CE6C29" w:rsidRPr="00CE6C29" w:rsidP="000C3B6C" w14:paraId="5BBF61C8" w14:textId="77777777">
            <w:r w:rsidRPr="00CE6C29">
              <w:t>Fax: + (32) 2 299 80 43,</w:t>
            </w:r>
          </w:p>
          <w:p w:rsidR="00CE6C29" w:rsidRPr="00CE6C29" w:rsidP="000C3B6C" w14:paraId="58172273"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0CB820EE"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E2C25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2E8E8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04C7BE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EF941C" w14:textId="77777777">
    <w:pPr>
      <w:pStyle w:val="Header"/>
      <w:pBdr>
        <w:bottom w:val="single" w:sz="4" w:space="1" w:color="auto"/>
      </w:pBdr>
      <w:tabs>
        <w:tab w:val="clear" w:pos="4513"/>
        <w:tab w:val="clear" w:pos="9027"/>
      </w:tabs>
      <w:jc w:val="center"/>
    </w:pPr>
    <w:r w:rsidRPr="002F6A28">
      <w:t>tbtSymbol</w:t>
    </w:r>
  </w:p>
  <w:p w:rsidR="009239F7" w:rsidRPr="002F6A28" w:rsidP="009239F7" w14:paraId="7F11AD17" w14:textId="77777777">
    <w:pPr>
      <w:pStyle w:val="Header"/>
      <w:pBdr>
        <w:bottom w:val="single" w:sz="4" w:space="1" w:color="auto"/>
      </w:pBdr>
      <w:tabs>
        <w:tab w:val="clear" w:pos="4513"/>
        <w:tab w:val="clear" w:pos="9027"/>
      </w:tabs>
      <w:jc w:val="center"/>
    </w:pPr>
  </w:p>
  <w:p w:rsidR="009239F7" w:rsidRPr="002F6A28" w:rsidP="009239F7" w14:paraId="642A510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673552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A84C32" w14:textId="77777777">
    <w:pPr>
      <w:pStyle w:val="Header"/>
      <w:pBdr>
        <w:bottom w:val="single" w:sz="4" w:space="1" w:color="auto"/>
      </w:pBdr>
      <w:tabs>
        <w:tab w:val="clear" w:pos="4513"/>
        <w:tab w:val="clear" w:pos="9027"/>
      </w:tabs>
      <w:jc w:val="center"/>
    </w:pPr>
    <w:bookmarkStart w:id="0" w:name="spsSymbolHeader"/>
    <w:r w:rsidRPr="002F6A28">
      <w:t>G/TBT/N/EU/1167</w:t>
    </w:r>
    <w:bookmarkEnd w:id="0"/>
  </w:p>
  <w:p w:rsidR="009239F7" w:rsidRPr="002F6A28" w:rsidP="009239F7" w14:paraId="707FF161" w14:textId="77777777">
    <w:pPr>
      <w:pStyle w:val="Header"/>
      <w:pBdr>
        <w:bottom w:val="single" w:sz="4" w:space="1" w:color="auto"/>
      </w:pBdr>
      <w:tabs>
        <w:tab w:val="clear" w:pos="4513"/>
        <w:tab w:val="clear" w:pos="9027"/>
      </w:tabs>
      <w:jc w:val="center"/>
    </w:pPr>
  </w:p>
  <w:p w:rsidR="009239F7" w:rsidRPr="002F6A28" w:rsidP="009239F7" w14:paraId="775C008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F8E649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BAB9C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684A93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A5B899B" w14:textId="77777777">
          <w:pPr>
            <w:jc w:val="right"/>
            <w:rPr>
              <w:b/>
              <w:color w:val="FF0000"/>
              <w:szCs w:val="16"/>
            </w:rPr>
          </w:pPr>
        </w:p>
      </w:tc>
    </w:tr>
    <w:bookmarkEnd w:id="1"/>
    <w:tr w14:paraId="13E3E46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A74EEA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F4C985" w14:textId="77777777">
          <w:pPr>
            <w:jc w:val="right"/>
            <w:rPr>
              <w:b/>
              <w:szCs w:val="16"/>
            </w:rPr>
          </w:pPr>
        </w:p>
      </w:tc>
    </w:tr>
    <w:tr w14:paraId="28489C3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8BD611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436364" w14:textId="77777777">
          <w:pPr>
            <w:jc w:val="right"/>
            <w:rPr>
              <w:b/>
              <w:szCs w:val="16"/>
            </w:rPr>
          </w:pPr>
          <w:bookmarkStart w:id="2" w:name="bmkSymbols"/>
          <w:r w:rsidRPr="002F6A28">
            <w:rPr>
              <w:b/>
              <w:szCs w:val="16"/>
            </w:rPr>
            <w:t>G/TBT/N/EU/1167</w:t>
          </w:r>
          <w:bookmarkEnd w:id="2"/>
        </w:p>
      </w:tc>
    </w:tr>
    <w:tr w14:paraId="34AB410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9EB0BF" w14:textId="77777777"/>
      </w:tc>
      <w:tc>
        <w:tcPr>
          <w:tcW w:w="5448" w:type="dxa"/>
          <w:gridSpan w:val="2"/>
          <w:shd w:val="clear" w:color="auto" w:fill="FFFFFF"/>
          <w:tcMar>
            <w:left w:w="108" w:type="dxa"/>
            <w:right w:w="108" w:type="dxa"/>
          </w:tcMar>
          <w:vAlign w:val="center"/>
        </w:tcPr>
        <w:p w:rsidR="00ED54E0" w:rsidRPr="009239F7" w:rsidP="00B801E9" w14:paraId="56EF4808" w14:textId="77777777">
          <w:pPr>
            <w:jc w:val="right"/>
            <w:rPr>
              <w:szCs w:val="16"/>
            </w:rPr>
          </w:pPr>
          <w:bookmarkStart w:id="3" w:name="spsDateDistribution"/>
          <w:bookmarkStart w:id="4" w:name="bmkDate"/>
          <w:r w:rsidRPr="009239F7">
            <w:rPr>
              <w:szCs w:val="16"/>
            </w:rPr>
            <w:t>6 November 2025</w:t>
          </w:r>
          <w:bookmarkEnd w:id="3"/>
          <w:bookmarkEnd w:id="4"/>
        </w:p>
      </w:tc>
    </w:tr>
    <w:tr w14:paraId="290ADC9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EABFDA" w14:textId="77777777">
          <w:pPr>
            <w:jc w:val="left"/>
            <w:rPr>
              <w:b/>
            </w:rPr>
          </w:pPr>
          <w:bookmarkStart w:id="5" w:name="bmkSerial"/>
          <w:r>
            <w:rPr>
              <w:rFonts w:ascii="Verdana" w:eastAsia="Verdana" w:hAnsi="Verdana" w:cs="Verdana"/>
              <w:b w:val="0"/>
              <w:color w:val="FF0000"/>
              <w:sz w:val="18"/>
            </w:rPr>
            <w:t>(25-7200)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0CECFE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FEC783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0BD302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4ECEA7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DCD39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3665096">
    <w:abstractNumId w:val="9"/>
  </w:num>
  <w:num w:numId="2" w16cid:durableId="824711099">
    <w:abstractNumId w:val="7"/>
  </w:num>
  <w:num w:numId="3" w16cid:durableId="2013412685">
    <w:abstractNumId w:val="6"/>
  </w:num>
  <w:num w:numId="4" w16cid:durableId="146213528">
    <w:abstractNumId w:val="5"/>
  </w:num>
  <w:num w:numId="5" w16cid:durableId="1729761046">
    <w:abstractNumId w:val="4"/>
  </w:num>
  <w:num w:numId="6" w16cid:durableId="1925993266">
    <w:abstractNumId w:val="12"/>
  </w:num>
  <w:num w:numId="7" w16cid:durableId="542524383">
    <w:abstractNumId w:val="11"/>
  </w:num>
  <w:num w:numId="8" w16cid:durableId="743335644">
    <w:abstractNumId w:val="10"/>
  </w:num>
  <w:num w:numId="9" w16cid:durableId="493766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3952493">
    <w:abstractNumId w:val="13"/>
  </w:num>
  <w:num w:numId="11" w16cid:durableId="202792442">
    <w:abstractNumId w:val="8"/>
  </w:num>
  <w:num w:numId="12" w16cid:durableId="1941721787">
    <w:abstractNumId w:val="3"/>
  </w:num>
  <w:num w:numId="13" w16cid:durableId="607204417">
    <w:abstractNumId w:val="2"/>
  </w:num>
  <w:num w:numId="14" w16cid:durableId="1440296707">
    <w:abstractNumId w:val="1"/>
  </w:num>
  <w:num w:numId="15" w16cid:durableId="136132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2F6F31"/>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F1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4C47"/>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BD821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7526_00_e.pdf" TargetMode="External" /><Relationship Id="rId8" Type="http://schemas.openxmlformats.org/officeDocument/2006/relationships/hyperlink" Target="https://members.wto.org/crnattachments/2025/TBT/EEC/25_07526_01_e.pdf" TargetMode="External" /><Relationship Id="rId9" Type="http://schemas.openxmlformats.org/officeDocument/2006/relationships/hyperlink" Target="http://eur-lex.europa.eu/legal-content/EN/TXT/?qid=1426599802066&amp;uri=CELEX:32005R011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2025-11-06T08:43:00Z</dcterms:created>
  <dcterms:modified xsi:type="dcterms:W3CDTF">2025-11-06T08:43:00Z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