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FA7C379" w14:textId="77777777">
      <w:pPr>
        <w:pStyle w:val="Title"/>
      </w:pPr>
      <w:r w:rsidRPr="002F663C">
        <w:t>NOTIFICATION</w:t>
      </w:r>
    </w:p>
    <w:p w:rsidR="002F663C" w:rsidRPr="002F663C" w:rsidP="00DD3DD7" w14:paraId="5202D45E" w14:textId="77777777">
      <w:pPr>
        <w:pStyle w:val="Title3"/>
      </w:pPr>
      <w:r w:rsidRPr="002F663C">
        <w:t>Addendum</w:t>
      </w:r>
    </w:p>
    <w:p w:rsidR="002F663C" w:rsidP="001E2E4A" w14:paraId="519A0B1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6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1DA75AC1" w14:textId="77777777">
      <w:pPr>
        <w:rPr>
          <w:rFonts w:eastAsia="Calibri" w:cs="Times New Roman"/>
        </w:rPr>
      </w:pPr>
    </w:p>
    <w:p w:rsidR="002F663C" w:rsidRPr="002F663C" w:rsidP="002F663C" w14:paraId="38514DD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22425FF" w14:textId="77777777">
      <w:pPr>
        <w:rPr>
          <w:rFonts w:eastAsia="Calibri" w:cs="Times New Roman"/>
        </w:rPr>
      </w:pPr>
    </w:p>
    <w:p w:rsidR="00C14444" w:rsidRPr="002F663C" w:rsidP="002F663C" w14:paraId="5FD268E6" w14:textId="77777777">
      <w:pPr>
        <w:rPr>
          <w:rFonts w:eastAsia="Calibri" w:cs="Times New Roman"/>
        </w:rPr>
      </w:pPr>
    </w:p>
    <w:p w:rsidR="002F663C" w:rsidRPr="002F663C" w:rsidP="002F663C" w14:paraId="260F216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The Egyptian Standard ES 694 "Specification for Nitrogen Gas and Liquid"</w:t>
      </w:r>
    </w:p>
    <w:p w:rsidR="002F663C" w:rsidRPr="002F663C" w:rsidP="002F663C" w14:paraId="2D819B87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B74284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038507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719A3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39B1A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A609A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4C8D89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9D88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F80A1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22 October 2025</w:t>
            </w:r>
          </w:p>
        </w:tc>
      </w:tr>
      <w:tr w14:paraId="23F015C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2A4DB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9F4EB3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EBFE7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C80AF7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FD7395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7244847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31257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1AE998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ABF8B1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9BB54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58761F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5C5A7B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364CD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48D8D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2B45D6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C6FADA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2A1EC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26198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9AE669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087DF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8E854C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40861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786657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9EEBC6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i/>
          <w:iCs/>
          <w:szCs w:val="18"/>
        </w:rPr>
        <w:t>Products covered:</w:t>
      </w:r>
      <w:r w:rsidRPr="002F663C">
        <w:rPr>
          <w:rFonts w:eastAsia="Calibri" w:cs="Times New Roman"/>
          <w:szCs w:val="18"/>
        </w:rPr>
        <w:t xml:space="preserve"> Gases for industrial application (ICS code(s): 71.100.20)</w:t>
      </w:r>
    </w:p>
    <w:p w:rsidR="00DF1EFC" w:rsidRPr="002F663C" w:rsidP="00B16ACF" w14:paraId="36BF7EA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No.372/2025 (1 pages, in Arabic) that gives the producers and importers a six-month transitional period to abide by the Egyptian Standard ES 694 "Specification for Nitrogen Gas and Liquid" (20 page(s), in Arabic).</w:t>
      </w:r>
    </w:p>
    <w:p w:rsidR="00DF1EFC" w:rsidRPr="002F663C" w:rsidP="00B16ACF" w14:paraId="6B6AE3C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draft of this standard was formerly notified in G/TBT/N/EGY/538 dated 27 March 2025.</w:t>
      </w:r>
    </w:p>
    <w:p w:rsidR="00DF1EFC" w:rsidRPr="002F663C" w:rsidP="00B16ACF" w14:paraId="7EB1F11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complies with CGA G-10.1/2023 "Commodity Specification for Nitrogen".</w:t>
      </w:r>
    </w:p>
    <w:p w:rsidR="00DF1EFC" w:rsidRPr="002F663C" w:rsidP="00B16ACF" w14:paraId="0B7B9D8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DF1EFC" w:rsidRPr="002F663C" w:rsidP="00B16ACF" w14:paraId="2056521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Date of adoption:</w:t>
      </w:r>
      <w:r w:rsidRPr="002F663C">
        <w:rPr>
          <w:rFonts w:eastAsia="Calibri" w:cs="Times New Roman"/>
          <w:szCs w:val="18"/>
        </w:rPr>
        <w:t xml:space="preserve"> 22 October 2025.</w:t>
      </w:r>
    </w:p>
    <w:p w:rsidR="00DF1EFC" w:rsidRPr="002F663C" w:rsidP="00B16ACF" w14:paraId="2A97988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gazette.</w:t>
      </w:r>
    </w:p>
    <w:p w:rsidR="00DF1EFC" w:rsidRPr="002F663C" w:rsidP="00B16ACF" w14:paraId="14C3C6B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DF1EFC" w:rsidRPr="002F663C" w:rsidP="00B16ACF" w14:paraId="35AB397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DF1EFC" w:rsidRPr="002F663C" w:rsidP="00B16ACF" w14:paraId="04C9568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DF1EFC" w:rsidRPr="002F663C" w:rsidP="00B16ACF" w14:paraId="3B09B5B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DF1EFC" w:rsidRPr="002F663C" w:rsidP="00B16ACF" w14:paraId="7E8CEF3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 ,</w:t>
        </w:r>
      </w:hyperlink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DF1EFC" w:rsidRPr="002F663C" w:rsidP="00B16ACF" w14:paraId="7FC1101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DF1EFC" w:rsidRPr="002F663C" w:rsidP="00B16ACF" w14:paraId="2C93A57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DF1EFC" w:rsidRPr="002F663C" w:rsidP="00B16ACF" w14:paraId="373F8EF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1C5D41B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0AE35F0" w14:textId="77777777">
      <w:pPr>
        <w:jc w:val="center"/>
        <w:rPr>
          <w:b/>
        </w:rPr>
      </w:pPr>
    </w:p>
    <w:p w:rsidR="00A1565D" w:rsidP="003971FF" w14:paraId="7657FDB8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9A1287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58D1BD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FF8C714" w14:textId="77777777">
      <w:r>
        <w:separator/>
      </w:r>
    </w:p>
  </w:footnote>
  <w:footnote w:type="continuationSeparator" w:id="1">
    <w:p w:rsidR="004D3A6A" w:rsidP="00ED54E0" w14:paraId="03DE444F" w14:textId="77777777">
      <w:r>
        <w:continuationSeparator/>
      </w:r>
    </w:p>
  </w:footnote>
  <w:footnote w:id="2">
    <w:p w:rsidR="007F6EA2" w14:paraId="168F439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464B5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468679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FFF59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219616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F6B67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G/TBT/N/EGY/538/Add.1</w:t>
    </w:r>
    <w:bookmarkEnd w:id="3"/>
  </w:p>
  <w:p w:rsidR="00DD3DD7" w:rsidRPr="00DD3DD7" w:rsidP="00DD3DD7" w14:paraId="1665F1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FE4F1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D175F7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D8E5E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3A5A83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532D9C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EAC2D2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DF7D2F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765FD1E" w14:textId="77777777">
          <w:pPr>
            <w:jc w:val="right"/>
            <w:rPr>
              <w:b/>
              <w:szCs w:val="16"/>
            </w:rPr>
          </w:pPr>
        </w:p>
      </w:tc>
    </w:tr>
    <w:tr w14:paraId="68C1AA8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E4C44E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EFBF35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G/TBT/N/EGY/538/Add.1</w:t>
          </w:r>
          <w:bookmarkEnd w:id="4"/>
        </w:p>
        <w:p w:rsidR="00C14444" w:rsidRPr="00C14444" w:rsidP="00C14444" w14:paraId="42B30488" w14:textId="77777777">
          <w:pPr>
            <w:jc w:val="center"/>
            <w:rPr>
              <w:szCs w:val="16"/>
            </w:rPr>
          </w:pPr>
        </w:p>
      </w:tc>
    </w:tr>
    <w:tr w14:paraId="4804230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B7BDB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BF5993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2025</w:t>
          </w:r>
          <w:bookmarkEnd w:id="5"/>
        </w:p>
      </w:tc>
    </w:tr>
    <w:tr w14:paraId="2906758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C1B9F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(25-7236)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007DF1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8023F7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7D8C09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1626D2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949B15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617946">
    <w:abstractNumId w:val="9"/>
  </w:num>
  <w:num w:numId="2" w16cid:durableId="1432360735">
    <w:abstractNumId w:val="7"/>
  </w:num>
  <w:num w:numId="3" w16cid:durableId="1913470792">
    <w:abstractNumId w:val="6"/>
  </w:num>
  <w:num w:numId="4" w16cid:durableId="112948237">
    <w:abstractNumId w:val="5"/>
  </w:num>
  <w:num w:numId="5" w16cid:durableId="1669283424">
    <w:abstractNumId w:val="4"/>
  </w:num>
  <w:num w:numId="6" w16cid:durableId="673844636">
    <w:abstractNumId w:val="12"/>
  </w:num>
  <w:num w:numId="7" w16cid:durableId="889683893">
    <w:abstractNumId w:val="11"/>
  </w:num>
  <w:num w:numId="8" w16cid:durableId="576088544">
    <w:abstractNumId w:val="10"/>
  </w:num>
  <w:num w:numId="9" w16cid:durableId="18719107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9423463">
    <w:abstractNumId w:val="13"/>
  </w:num>
  <w:num w:numId="11" w16cid:durableId="352050">
    <w:abstractNumId w:val="8"/>
  </w:num>
  <w:num w:numId="12" w16cid:durableId="125513515">
    <w:abstractNumId w:val="3"/>
  </w:num>
  <w:num w:numId="13" w16cid:durableId="433087715">
    <w:abstractNumId w:val="2"/>
  </w:num>
  <w:num w:numId="14" w16cid:durableId="2029791747">
    <w:abstractNumId w:val="1"/>
  </w:num>
  <w:num w:numId="15" w16cid:durableId="620454063">
    <w:abstractNumId w:val="0"/>
  </w:num>
  <w:num w:numId="16" w16cid:durableId="130327167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42CA0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B5F18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1EFC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104B04"/>
  <w15:docId w15:val="{C4032C3A-0AD5-459F-833F-9260578D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eos@eos.org.eg%20," TargetMode="External" /><Relationship Id="rId7" Type="http://schemas.openxmlformats.org/officeDocument/2006/relationships/hyperlink" Target="mailto:eos.tbt@eos.org.eg" TargetMode="External" /><Relationship Id="rId8" Type="http://schemas.openxmlformats.org/officeDocument/2006/relationships/hyperlink" Target="http://www.eos.org.eg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2025-11-06T14:29:00Z</dcterms:created>
  <dcterms:modified xsi:type="dcterms:W3CDTF">2025-11-06T14:29:00Z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