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66F9149E" w14:textId="77777777">
      <w:pPr>
        <w:pStyle w:val="Title"/>
        <w:rPr>
          <w:caps w:val="0"/>
          <w:kern w:val="0"/>
        </w:rPr>
      </w:pPr>
      <w:r w:rsidRPr="003A3E55">
        <w:rPr>
          <w:caps w:val="0"/>
          <w:kern w:val="0"/>
        </w:rPr>
        <w:t>NOTIFICACIÓN</w:t>
      </w:r>
    </w:p>
    <w:p w:rsidR="00B531D9" w:rsidRPr="003A3E55" w:rsidP="003A3E55" w14:paraId="7C98D294" w14:textId="77777777">
      <w:pPr>
        <w:jc w:val="center"/>
      </w:pPr>
      <w:r w:rsidRPr="003A3E55">
        <w:t>Se da traslado de la notificación siguiente de conformidad con el artículo 10.6.</w:t>
      </w:r>
    </w:p>
    <w:p w:rsidR="00B531D9" w:rsidRPr="003A3E55" w:rsidP="003A3E55" w14:paraId="0DD36829"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43AC9C50" w14:textId="77777777" w:rsidTr="000F6A25">
        <w:tblPrEx>
          <w:tblW w:w="5000" w:type="pct"/>
          <w:tblLayout w:type="fixed"/>
          <w:tblLook w:val="0000"/>
        </w:tblPrEx>
        <w:tc>
          <w:tcPr>
            <w:tcW w:w="695" w:type="dxa"/>
            <w:tcBorders>
              <w:top w:val="double" w:sz="4" w:space="0" w:color="auto"/>
            </w:tcBorders>
          </w:tcPr>
          <w:p w:rsidR="00A52F73" w:rsidRPr="003A3E55" w:rsidP="003A3E55" w14:paraId="024FB20F" w14:textId="77777777">
            <w:pPr>
              <w:spacing w:before="120" w:after="120"/>
              <w:rPr>
                <w:b/>
              </w:rPr>
            </w:pPr>
            <w:r w:rsidRPr="003A3E55">
              <w:rPr>
                <w:b/>
              </w:rPr>
              <w:t>1.</w:t>
            </w:r>
          </w:p>
        </w:tc>
        <w:tc>
          <w:tcPr>
            <w:tcW w:w="8285" w:type="dxa"/>
            <w:tcBorders>
              <w:top w:val="double" w:sz="4" w:space="0" w:color="auto"/>
            </w:tcBorders>
          </w:tcPr>
          <w:p w:rsidR="00A52F73" w:rsidRPr="003A3E55" w:rsidP="00946686" w14:paraId="466E8FAA"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1A8A38AA" w14:textId="77777777">
            <w:pPr>
              <w:spacing w:after="120"/>
            </w:pPr>
            <w:r w:rsidRPr="003A3E55">
              <w:rPr>
                <w:b/>
              </w:rPr>
              <w:t>Si procede, nombre del gobierno local de que se trate (artículos 3.2 y 7.2):</w:t>
            </w:r>
            <w:r w:rsidRPr="006A63E9" w:rsidR="00AF251E">
              <w:t xml:space="preserve"> </w:t>
            </w:r>
          </w:p>
        </w:tc>
      </w:tr>
      <w:tr w14:paraId="28CB5656" w14:textId="77777777" w:rsidTr="000F6A25">
        <w:tblPrEx>
          <w:tblW w:w="5000" w:type="pct"/>
          <w:tblLayout w:type="fixed"/>
          <w:tblLook w:val="0000"/>
        </w:tblPrEx>
        <w:tc>
          <w:tcPr>
            <w:tcW w:w="695" w:type="dxa"/>
          </w:tcPr>
          <w:p w:rsidR="00A52F73" w:rsidRPr="003A3E55" w:rsidP="003A3E55" w14:paraId="4FF578A3" w14:textId="77777777">
            <w:pPr>
              <w:spacing w:before="120" w:after="120"/>
              <w:rPr>
                <w:b/>
              </w:rPr>
            </w:pPr>
            <w:r w:rsidRPr="003A3E55">
              <w:rPr>
                <w:b/>
              </w:rPr>
              <w:t>2.</w:t>
            </w:r>
          </w:p>
        </w:tc>
        <w:tc>
          <w:tcPr>
            <w:tcW w:w="8285" w:type="dxa"/>
          </w:tcPr>
          <w:p w:rsidR="00A52F73" w:rsidRPr="003A3E55" w:rsidP="00C94F02" w14:paraId="1721DB4F" w14:textId="77777777">
            <w:pPr>
              <w:spacing w:before="120" w:after="120"/>
            </w:pPr>
            <w:r w:rsidRPr="003A3E55">
              <w:rPr>
                <w:b/>
              </w:rPr>
              <w:t>Organismo responsable:</w:t>
            </w:r>
            <w:r w:rsidRPr="003A3E55" w:rsidR="00AF251E">
              <w:t xml:space="preserve"> </w:t>
            </w:r>
          </w:p>
          <w:p w:rsidR="00AF251E" w:rsidRPr="003A3E55" w:rsidP="00C94F02" w14:paraId="08E7343A" w14:textId="77777777">
            <w:pPr>
              <w:spacing w:after="120"/>
            </w:pPr>
            <w:r w:rsidRPr="003A3E55">
              <w:t>Ministerio del Medio Ambiente (MMA)</w:t>
            </w:r>
          </w:p>
        </w:tc>
      </w:tr>
      <w:tr w14:paraId="2D10ABA5" w14:textId="77777777" w:rsidTr="000F6A25">
        <w:tblPrEx>
          <w:tblW w:w="5000" w:type="pct"/>
          <w:tblLayout w:type="fixed"/>
          <w:tblLook w:val="0000"/>
        </w:tblPrEx>
        <w:tc>
          <w:tcPr>
            <w:tcW w:w="695" w:type="dxa"/>
          </w:tcPr>
          <w:p w:rsidR="00A52F73" w:rsidRPr="003A3E55" w:rsidP="003A3E55" w14:paraId="1BBBDCBD" w14:textId="77777777">
            <w:pPr>
              <w:spacing w:before="120" w:after="120"/>
              <w:rPr>
                <w:b/>
              </w:rPr>
            </w:pPr>
            <w:r w:rsidRPr="003A3E55">
              <w:rPr>
                <w:b/>
              </w:rPr>
              <w:t>3.</w:t>
            </w:r>
          </w:p>
        </w:tc>
        <w:tc>
          <w:tcPr>
            <w:tcW w:w="8285" w:type="dxa"/>
          </w:tcPr>
          <w:p w:rsidR="00A52F73" w:rsidRPr="003A3E55" w:rsidP="003A3E55" w14:paraId="110FFAAE" w14:textId="77777777">
            <w:pPr>
              <w:spacing w:before="120" w:after="120"/>
            </w:pPr>
            <w:r w:rsidRPr="003A3E55">
              <w:rPr>
                <w:b/>
              </w:rPr>
              <w:t>Notificación hecha en virtud del artículo 2.9.2 [ ], 2.10.1 [X],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0A44FA7E" w14:textId="77777777" w:rsidTr="000F6A25">
        <w:tblPrEx>
          <w:tblW w:w="5000" w:type="pct"/>
          <w:tblLayout w:type="fixed"/>
          <w:tblLook w:val="0000"/>
        </w:tblPrEx>
        <w:tc>
          <w:tcPr>
            <w:tcW w:w="695" w:type="dxa"/>
          </w:tcPr>
          <w:p w:rsidR="00A52F73" w:rsidRPr="003A3E55" w:rsidP="003A3E55" w14:paraId="7395A8E3" w14:textId="77777777">
            <w:pPr>
              <w:spacing w:before="120" w:after="120"/>
              <w:rPr>
                <w:b/>
              </w:rPr>
            </w:pPr>
            <w:r w:rsidRPr="003A3E55">
              <w:rPr>
                <w:b/>
              </w:rPr>
              <w:t>4.</w:t>
            </w:r>
          </w:p>
        </w:tc>
        <w:tc>
          <w:tcPr>
            <w:tcW w:w="8285" w:type="dxa"/>
          </w:tcPr>
          <w:p w:rsidR="00A52F73" w:rsidRPr="003A3E55" w:rsidP="003A3E55" w14:paraId="4F7D0566"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Nuevos modelos de buses livianos, medianos y pesados de locomoción colectiva que ingresen al país y posteriormente operan en el servicio de transporte público. Bus liviano, mediano y pesado: aquellos definidos por el artículo 2º del Decreto Supremo Nº 122 de 1991, del Ministerio de Transportes y Telecomunicaciones, o el que lo reemplace.</w:t>
            </w:r>
          </w:p>
        </w:tc>
      </w:tr>
      <w:tr w14:paraId="1A7E3C2F" w14:textId="77777777" w:rsidTr="000F6A25">
        <w:tblPrEx>
          <w:tblW w:w="5000" w:type="pct"/>
          <w:tblLayout w:type="fixed"/>
          <w:tblLook w:val="0000"/>
        </w:tblPrEx>
        <w:tc>
          <w:tcPr>
            <w:tcW w:w="695" w:type="dxa"/>
          </w:tcPr>
          <w:p w:rsidR="00A52F73" w:rsidRPr="003A3E55" w:rsidP="003A3E55" w14:paraId="134A5E7C" w14:textId="77777777">
            <w:pPr>
              <w:spacing w:before="120" w:after="120"/>
              <w:rPr>
                <w:b/>
              </w:rPr>
            </w:pPr>
            <w:r w:rsidRPr="003A3E55">
              <w:rPr>
                <w:b/>
              </w:rPr>
              <w:t>5.</w:t>
            </w:r>
          </w:p>
        </w:tc>
        <w:tc>
          <w:tcPr>
            <w:tcW w:w="8285" w:type="dxa"/>
          </w:tcPr>
          <w:p w:rsidR="00A52F73" w:rsidP="003A3E55" w14:paraId="2717830E"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Anteproyecto del proceso de revisión del Decreto Supremo Nº 129, de 2002, del Ministerio de Transportes y Telecomunicaciones, que establece Norma de Emisión de Ruidos para Buses de Locomoción Colectiva Urbana y Rural; (12 página(s), en español)</w:t>
            </w:r>
          </w:p>
          <w:p w:rsidR="00145C22" w:rsidRPr="00F70F54" w:rsidP="003A3E55" w14:paraId="4C0B78EA"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6F2A9820" w14:textId="77777777">
            <w:pPr>
              <w:pBdr>
                <w:top w:val="none" w:sz="0" w:space="4" w:color="auto"/>
                <w:bottom w:val="none" w:sz="0" w:space="4" w:color="auto"/>
              </w:pBdr>
              <w:rPr>
                <w:bCs/>
              </w:rPr>
            </w:pPr>
            <w:hyperlink r:id="rId5" w:tgtFrame="_blank" w:history="1">
              <w:r>
                <w:rPr>
                  <w:bCs/>
                  <w:color w:val="0000FF"/>
                  <w:u w:val="single"/>
                </w:rPr>
                <w:t>https://members.wto.org/crnattachments/2025/TBT/CHL/25_07522_00_s.pdf</w:t>
              </w:r>
            </w:hyperlink>
          </w:p>
          <w:p w:rsidR="00F70F54" w:rsidP="003A3E55" w14:paraId="501AEBC6" w14:textId="77777777">
            <w:pPr>
              <w:rPr>
                <w:bCs/>
              </w:rPr>
            </w:pPr>
            <w:hyperlink r:id="rId6" w:tgtFrame="_blank" w:history="1">
              <w:r>
                <w:rPr>
                  <w:bCs/>
                  <w:color w:val="0000FF"/>
                  <w:u w:val="single"/>
                </w:rPr>
                <w:t>https://planesynormas.mma.gob.cl/archivos/2025/proyectos/202-207._Resolucion_04827_2025_AP_Rev._DS129.pdf</w:t>
              </w:r>
            </w:hyperlink>
          </w:p>
          <w:p w:rsidR="00F70F54" w:rsidP="003A3E55" w14:paraId="33D3F75A" w14:textId="77777777">
            <w:pPr>
              <w:rPr>
                <w:bCs/>
              </w:rPr>
            </w:pPr>
            <w:r>
              <w:rPr>
                <w:bCs/>
              </w:rPr>
              <w:t>Subsecretaría de Relaciones Económicas Internacionales</w:t>
            </w:r>
          </w:p>
          <w:p w:rsidR="00F70F54" w:rsidP="003A3E55" w14:paraId="65C50B2A" w14:textId="77777777">
            <w:pPr>
              <w:rPr>
                <w:bCs/>
              </w:rPr>
            </w:pPr>
            <w:r>
              <w:rPr>
                <w:bCs/>
              </w:rPr>
              <w:t>Ministerio de Relaciones Exteriores</w:t>
            </w:r>
          </w:p>
          <w:p w:rsidR="00F70F54" w:rsidP="003A3E55" w14:paraId="534A316F" w14:textId="77777777">
            <w:pPr>
              <w:rPr>
                <w:bCs/>
              </w:rPr>
            </w:pPr>
            <w:r>
              <w:rPr>
                <w:bCs/>
              </w:rPr>
              <w:t>Teatinos 180, piso 11</w:t>
            </w:r>
          </w:p>
          <w:p w:rsidR="00F70F54" w:rsidP="003A3E55" w14:paraId="60574DBB" w14:textId="77777777">
            <w:pPr>
              <w:rPr>
                <w:bCs/>
              </w:rPr>
            </w:pPr>
            <w:r>
              <w:rPr>
                <w:bCs/>
              </w:rPr>
              <w:t>Teléfono: (+56)- 2- 2827 5251</w:t>
            </w:r>
          </w:p>
          <w:p w:rsidR="00F70F54" w:rsidP="003A3E55" w14:paraId="104DFA0B" w14:textId="77777777">
            <w:pPr>
              <w:spacing w:after="120"/>
              <w:rPr>
                <w:bCs/>
              </w:rPr>
            </w:pPr>
            <w:r>
              <w:rPr>
                <w:bCs/>
              </w:rPr>
              <w:t xml:space="preserve">Correo electrónico: </w:t>
            </w:r>
            <w:hyperlink r:id="rId7" w:history="1">
              <w:r>
                <w:rPr>
                  <w:bCs/>
                  <w:color w:val="0000FF"/>
                  <w:u w:val="single"/>
                </w:rPr>
                <w:t>tbt_chile@subrei.gob.cl</w:t>
              </w:r>
            </w:hyperlink>
          </w:p>
        </w:tc>
      </w:tr>
      <w:tr w14:paraId="4CCF7A2E" w14:textId="77777777" w:rsidTr="000F6A25">
        <w:tblPrEx>
          <w:tblW w:w="5000" w:type="pct"/>
          <w:tblLayout w:type="fixed"/>
          <w:tblLook w:val="0000"/>
        </w:tblPrEx>
        <w:tc>
          <w:tcPr>
            <w:tcW w:w="695" w:type="dxa"/>
          </w:tcPr>
          <w:p w:rsidR="00A52F73" w:rsidRPr="003A3E55" w:rsidP="003A3E55" w14:paraId="77D795C9" w14:textId="77777777">
            <w:pPr>
              <w:spacing w:before="120" w:after="120"/>
              <w:rPr>
                <w:b/>
              </w:rPr>
            </w:pPr>
            <w:r w:rsidRPr="003A3E55">
              <w:rPr>
                <w:b/>
              </w:rPr>
              <w:t>6.</w:t>
            </w:r>
          </w:p>
        </w:tc>
        <w:tc>
          <w:tcPr>
            <w:tcW w:w="8285" w:type="dxa"/>
          </w:tcPr>
          <w:p w:rsidR="00A52F73" w:rsidRPr="003A3E55" w:rsidP="003A3E55" w14:paraId="249A417F" w14:textId="77777777">
            <w:pPr>
              <w:spacing w:before="120" w:after="120"/>
            </w:pPr>
            <w:r w:rsidRPr="000C0749">
              <w:rPr>
                <w:b/>
              </w:rPr>
              <w:t>Descripción del contenido:</w:t>
            </w:r>
            <w:r w:rsidRPr="003A3E55" w:rsidR="00AF251E">
              <w:t xml:space="preserve"> La norma establece límites de emisión de ruido para buses de locomoción colectiva, diferenciados según el tipo de vehículo (liviano o mediano/pesado), el tipo de ensayo (dinámico o estacionario) y la posición de medición (escape, motor, interior y exterior). Estos límites aplican tanto a los nuevos modelos de buses que ingresen al país como a los buses actualmente en operación, considerando el año de incorporación al parque vehicular. Las fuentes sujetas al cumplimiento de esta norma son los buses livianos, medianos y pesados de locomoción colectiva, tanto nuevos —ya sean fabricados, ensamblados o importados— como los en operación, que presten servicios de transporte urbano o rural. El control del cumplimiento de la norma se realiza a través de distintos mecanismos: Para los nuevos modelos de buses, la verificación se efectúa en el Centro de Control y Certificación Vehicular del Ministerio de Transportes y </w:t>
            </w:r>
            <w:r w:rsidRPr="003A3E55" w:rsidR="00AF251E">
              <w:t>Telecomunicaciones. Para los buses en operación, el control se lleva a cabo en las Plantas de Revisión Técnica y mediante fiscalización en vía pública.</w:t>
            </w:r>
          </w:p>
        </w:tc>
      </w:tr>
      <w:tr w14:paraId="7E67F981" w14:textId="77777777" w:rsidTr="000F6A25">
        <w:tblPrEx>
          <w:tblW w:w="5000" w:type="pct"/>
          <w:tblLayout w:type="fixed"/>
          <w:tblLook w:val="0000"/>
        </w:tblPrEx>
        <w:tc>
          <w:tcPr>
            <w:tcW w:w="695" w:type="dxa"/>
          </w:tcPr>
          <w:p w:rsidR="00A52F73" w:rsidRPr="003A3E55" w:rsidP="003A3E55" w14:paraId="4E8F16C5" w14:textId="77777777">
            <w:pPr>
              <w:spacing w:before="120" w:after="120"/>
              <w:rPr>
                <w:b/>
              </w:rPr>
            </w:pPr>
            <w:r w:rsidRPr="003A3E55">
              <w:rPr>
                <w:b/>
              </w:rPr>
              <w:t>7.</w:t>
            </w:r>
          </w:p>
        </w:tc>
        <w:tc>
          <w:tcPr>
            <w:tcW w:w="8285" w:type="dxa"/>
          </w:tcPr>
          <w:p w:rsidR="00A52F73" w:rsidRPr="003A3E55" w:rsidP="00A5462B" w14:paraId="62695829" w14:textId="77777777">
            <w:pPr>
              <w:spacing w:before="120" w:after="120"/>
            </w:pPr>
            <w:r w:rsidRPr="000C0749">
              <w:rPr>
                <w:b/>
              </w:rPr>
              <w:t>Objetivo y razón de ser, incluida, cuando proceda, la naturaleza de los problemas urgentes:</w:t>
            </w:r>
            <w:r w:rsidRPr="003A3E55" w:rsidR="00412DAF">
              <w:t xml:space="preserve"> La norma de emisión tiene por objetivo proteger la salud de las personas y la calidad de vida de la población, mediante el control de las emisiones de ruido generadas por los buses de locomoción colectiva. Como resultado de su aplicación, se espera la reducción del ruido generado por este tipo de fuentes, disminuyendo los niveles de ruido ambiental en las ciudades.; Protección de la salud o seguridad humanas.; Protección de la salud o seguridad humanas</w:t>
            </w:r>
          </w:p>
        </w:tc>
      </w:tr>
      <w:tr w14:paraId="6FE68741" w14:textId="77777777" w:rsidTr="000F6A25">
        <w:tblPrEx>
          <w:tblW w:w="5000" w:type="pct"/>
          <w:tblLayout w:type="fixed"/>
          <w:tblLook w:val="0000"/>
        </w:tblPrEx>
        <w:tc>
          <w:tcPr>
            <w:tcW w:w="695" w:type="dxa"/>
          </w:tcPr>
          <w:p w:rsidR="00A52F73" w:rsidRPr="003A3E55" w:rsidP="00617B12" w14:paraId="75DBB72E" w14:textId="77777777">
            <w:pPr>
              <w:spacing w:before="120" w:after="120"/>
              <w:rPr>
                <w:b/>
              </w:rPr>
            </w:pPr>
            <w:r w:rsidRPr="003A3E55">
              <w:rPr>
                <w:b/>
              </w:rPr>
              <w:t>8.</w:t>
            </w:r>
          </w:p>
        </w:tc>
        <w:tc>
          <w:tcPr>
            <w:tcW w:w="8285" w:type="dxa"/>
          </w:tcPr>
          <w:p w:rsidR="00145C22" w:rsidRPr="00F70F54" w:rsidP="005037AE" w14:paraId="090F6084" w14:textId="77777777">
            <w:pPr>
              <w:spacing w:before="120" w:after="120"/>
              <w:rPr>
                <w:bCs/>
              </w:rPr>
            </w:pPr>
            <w:r w:rsidRPr="000C0749">
              <w:rPr>
                <w:b/>
              </w:rPr>
              <w:t>Documentos pertinentes:</w:t>
            </w:r>
            <w:r w:rsidRPr="003A3E55" w:rsidR="00AF251E">
              <w:t xml:space="preserve"> </w:t>
            </w:r>
          </w:p>
          <w:p w:rsidR="00AF251E" w:rsidRPr="003A3E55" w:rsidP="005037AE" w14:paraId="2DF664B9" w14:textId="77777777">
            <w:pPr>
              <w:spacing w:before="120" w:after="120"/>
            </w:pPr>
            <w:r w:rsidRPr="003A3E55">
              <w:t>- Ley N° 19.300 sobre Bases Generales del Medio Ambiente.</w:t>
            </w:r>
          </w:p>
          <w:p w:rsidR="00AF251E" w:rsidRPr="003A3E55" w:rsidP="005037AE" w14:paraId="6082CC98" w14:textId="77777777">
            <w:pPr>
              <w:spacing w:before="120" w:after="120"/>
            </w:pPr>
            <w:r w:rsidRPr="003A3E55">
              <w:t>- Decreto Supremo N°129, de 2002, del Ministerio de Transportes y Telecomunicaciones.</w:t>
            </w:r>
          </w:p>
          <w:p w:rsidR="00AF251E" w:rsidRPr="003A3E55" w:rsidP="005037AE" w14:paraId="14EFD6B0" w14:textId="77777777">
            <w:pPr>
              <w:spacing w:before="120" w:after="120"/>
            </w:pPr>
            <w:r w:rsidRPr="003A3E55">
              <w:t>- Decreto Supremo N°38, de 2012, del Ministerio del Medio Ambiente.</w:t>
            </w:r>
          </w:p>
          <w:p w:rsidR="00AF251E" w:rsidRPr="003A3E55" w:rsidP="005037AE" w14:paraId="500BCDE4" w14:textId="77777777">
            <w:pPr>
              <w:spacing w:before="120" w:after="120"/>
            </w:pPr>
            <w:r w:rsidRPr="003A3E55">
              <w:t>- Decreto Supremo N°122, de 1991, del Ministerio de Transportes y Telecomunicaciones</w:t>
            </w:r>
          </w:p>
        </w:tc>
      </w:tr>
      <w:tr w14:paraId="77EC172F" w14:textId="77777777" w:rsidTr="000F6A25">
        <w:tblPrEx>
          <w:tblW w:w="5000" w:type="pct"/>
          <w:tblLayout w:type="fixed"/>
          <w:tblLook w:val="0000"/>
        </w:tblPrEx>
        <w:tc>
          <w:tcPr>
            <w:tcW w:w="695" w:type="dxa"/>
          </w:tcPr>
          <w:p w:rsidR="00AF251E" w:rsidRPr="003A3E55" w:rsidP="003A3E55" w14:paraId="79DFCA3C" w14:textId="77777777">
            <w:pPr>
              <w:spacing w:before="120" w:after="120"/>
              <w:rPr>
                <w:b/>
              </w:rPr>
            </w:pPr>
            <w:r w:rsidRPr="003A3E55">
              <w:rPr>
                <w:b/>
              </w:rPr>
              <w:t>9.</w:t>
            </w:r>
          </w:p>
        </w:tc>
        <w:tc>
          <w:tcPr>
            <w:tcW w:w="8285" w:type="dxa"/>
          </w:tcPr>
          <w:p w:rsidR="00AF251E" w:rsidRPr="003A3E55" w:rsidP="009F7158" w14:paraId="195E694B" w14:textId="77777777">
            <w:pPr>
              <w:spacing w:before="120" w:after="120"/>
              <w:rPr>
                <w:bCs/>
              </w:rPr>
            </w:pPr>
            <w:r w:rsidRPr="000C0749">
              <w:rPr>
                <w:b/>
              </w:rPr>
              <w:t>Fecha propuesta de adopción:</w:t>
            </w:r>
            <w:r w:rsidRPr="006A63E9">
              <w:t xml:space="preserve"> Por determinar</w:t>
            </w:r>
          </w:p>
          <w:p w:rsidR="00AF251E" w:rsidRPr="003A3E55" w:rsidP="009F7158" w14:paraId="55FA21B6" w14:textId="77777777">
            <w:pPr>
              <w:spacing w:after="120"/>
              <w:rPr>
                <w:b/>
              </w:rPr>
            </w:pPr>
            <w:r w:rsidRPr="000C0749">
              <w:rPr>
                <w:b/>
              </w:rPr>
              <w:t>Fecha propuesta de adopción y entrada en vigor:</w:t>
            </w:r>
            <w:r w:rsidRPr="006A63E9">
              <w:t xml:space="preserve"> Por determinar</w:t>
            </w:r>
          </w:p>
        </w:tc>
      </w:tr>
      <w:tr w14:paraId="4E1D0A26" w14:textId="77777777" w:rsidTr="000F6A25">
        <w:tblPrEx>
          <w:tblW w:w="5000" w:type="pct"/>
          <w:tblLayout w:type="fixed"/>
          <w:tblLook w:val="0000"/>
        </w:tblPrEx>
        <w:tc>
          <w:tcPr>
            <w:tcW w:w="695" w:type="dxa"/>
            <w:tcBorders>
              <w:bottom w:val="double" w:sz="4" w:space="0" w:color="auto"/>
            </w:tcBorders>
          </w:tcPr>
          <w:p w:rsidR="00A52F73" w:rsidRPr="003A3E55" w:rsidP="003A3E55" w14:paraId="37425EA2"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083550BC"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0066F4A6" w14:textId="77777777">
            <w:pPr>
              <w:spacing w:before="120" w:after="120"/>
              <w:rPr>
                <w:bCs/>
              </w:rPr>
            </w:pPr>
            <w:r w:rsidRPr="003A3E55">
              <w:rPr>
                <w:b/>
              </w:rPr>
              <w:t>Fecha límite para la presentación de observaciones:</w:t>
            </w:r>
            <w:r w:rsidRPr="003A3E55" w:rsidR="00AF251E">
              <w:t xml:space="preserve"> No procede</w:t>
            </w:r>
          </w:p>
          <w:p w:rsidR="005F0B7B" w:rsidRPr="000C0749" w:rsidP="005F0B7B" w14:paraId="08C42833" w14:textId="77777777">
            <w:pPr>
              <w:tabs>
                <w:tab w:val="left" w:pos="1418"/>
                <w:tab w:val="left" w:pos="2127"/>
                <w:tab w:val="left" w:pos="2835"/>
                <w:tab w:val="left" w:pos="3402"/>
              </w:tabs>
              <w:spacing w:before="120" w:after="120"/>
              <w:rPr>
                <w:b/>
                <w:bCs/>
              </w:rPr>
            </w:pPr>
            <w:r w:rsidRPr="000C0749">
              <w:rPr>
                <w:b/>
              </w:rPr>
              <w:t>[ ] 60 días a partir de la fecha de notificación</w:t>
            </w:r>
            <w:r w:rsidRPr="00213FCE" w:rsidR="00213FCE">
              <w:rPr>
                <w:bCs/>
              </w:rPr>
              <w:t xml:space="preserve"> </w:t>
            </w:r>
          </w:p>
          <w:p w:rsidR="005F0B7B" w:rsidRPr="00F70F54" w:rsidP="003A3E55" w14:paraId="6846E03A"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02150607" w14:textId="77777777">
            <w:pPr>
              <w:rPr>
                <w:bCs/>
              </w:rPr>
            </w:pPr>
            <w:r>
              <w:rPr>
                <w:bCs/>
              </w:rPr>
              <w:t>Subsecretaría de Relaciones Económicas Internacionales</w:t>
            </w:r>
          </w:p>
          <w:p w:rsidR="00F70F54" w:rsidP="003A3E55" w14:paraId="7B94F37C" w14:textId="77777777">
            <w:pPr>
              <w:rPr>
                <w:bCs/>
              </w:rPr>
            </w:pPr>
            <w:r>
              <w:rPr>
                <w:bCs/>
              </w:rPr>
              <w:t>Ministerio de Relaciones Exteriores</w:t>
            </w:r>
          </w:p>
          <w:p w:rsidR="00F70F54" w:rsidP="003A3E55" w14:paraId="1C4DDE0D" w14:textId="77777777">
            <w:pPr>
              <w:rPr>
                <w:bCs/>
              </w:rPr>
            </w:pPr>
            <w:r>
              <w:rPr>
                <w:bCs/>
              </w:rPr>
              <w:t>Teatinos 180, piso 11</w:t>
            </w:r>
          </w:p>
          <w:p w:rsidR="00F70F54" w:rsidP="003A3E55" w14:paraId="724C68D1" w14:textId="77777777">
            <w:pPr>
              <w:rPr>
                <w:bCs/>
              </w:rPr>
            </w:pPr>
            <w:r>
              <w:rPr>
                <w:bCs/>
              </w:rPr>
              <w:t>Teléfono: (+56)- 2- 2827 5251</w:t>
            </w:r>
          </w:p>
          <w:p w:rsidR="00F70F54" w:rsidP="003A3E55" w14:paraId="785E20CB" w14:textId="77777777">
            <w:pPr>
              <w:spacing w:after="120"/>
              <w:rPr>
                <w:bCs/>
              </w:rPr>
            </w:pPr>
            <w:r>
              <w:rPr>
                <w:bCs/>
              </w:rPr>
              <w:t xml:space="preserve">Correo electrónico: </w:t>
            </w:r>
            <w:hyperlink r:id="rId7" w:history="1">
              <w:r>
                <w:rPr>
                  <w:bCs/>
                  <w:color w:val="0000FF"/>
                  <w:u w:val="single"/>
                </w:rPr>
                <w:t>tbt_chile@subrei.gob.cl</w:t>
              </w:r>
            </w:hyperlink>
          </w:p>
        </w:tc>
      </w:tr>
    </w:tbl>
    <w:p w:rsidR="00AF251E" w:rsidRPr="003A3E55" w:rsidP="00C94F02" w14:paraId="4B1B3E21" w14:textId="77777777">
      <w:pPr>
        <w:jc w:val="center"/>
      </w:pPr>
    </w:p>
    <w:sectPr w:rsidSect="00AE3C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728C5392"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19C18E1A"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2167CA92"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1AB2D189" w14:textId="77777777">
    <w:pPr>
      <w:pStyle w:val="Header"/>
      <w:pBdr>
        <w:bottom w:val="single" w:sz="4" w:space="1" w:color="auto"/>
      </w:pBdr>
      <w:tabs>
        <w:tab w:val="clear" w:pos="4513"/>
        <w:tab w:val="clear" w:pos="9027"/>
      </w:tabs>
      <w:jc w:val="center"/>
    </w:pPr>
    <w:r w:rsidRPr="003A3E55">
      <w:t>tbtSymbol</w:t>
    </w:r>
  </w:p>
  <w:p w:rsidR="00B531D9" w:rsidRPr="003A3E55" w:rsidP="00B531D9" w14:paraId="591D3B5A" w14:textId="77777777">
    <w:pPr>
      <w:pStyle w:val="Header"/>
      <w:pBdr>
        <w:bottom w:val="single" w:sz="4" w:space="1" w:color="auto"/>
      </w:pBdr>
      <w:tabs>
        <w:tab w:val="clear" w:pos="4513"/>
        <w:tab w:val="clear" w:pos="9027"/>
      </w:tabs>
      <w:jc w:val="center"/>
    </w:pPr>
  </w:p>
  <w:p w:rsidR="00B531D9" w:rsidRPr="003A3E55" w:rsidP="00B531D9" w14:paraId="517AC994"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6E94237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45EA0A4D" w14:textId="77777777">
    <w:pPr>
      <w:pStyle w:val="Header"/>
      <w:pBdr>
        <w:bottom w:val="single" w:sz="4" w:space="1" w:color="auto"/>
      </w:pBdr>
      <w:tabs>
        <w:tab w:val="clear" w:pos="4513"/>
        <w:tab w:val="clear" w:pos="9027"/>
      </w:tabs>
      <w:jc w:val="center"/>
    </w:pPr>
    <w:bookmarkStart w:id="0" w:name="spsSymbolHeader"/>
    <w:r w:rsidRPr="003A3E55">
      <w:t>G/TBT/N/CHL/760</w:t>
    </w:r>
    <w:bookmarkEnd w:id="0"/>
  </w:p>
  <w:p w:rsidR="00B531D9" w:rsidRPr="003A3E55" w:rsidP="00B531D9" w14:paraId="3E9A0058" w14:textId="77777777">
    <w:pPr>
      <w:pStyle w:val="Header"/>
      <w:pBdr>
        <w:bottom w:val="single" w:sz="4" w:space="1" w:color="auto"/>
      </w:pBdr>
      <w:tabs>
        <w:tab w:val="clear" w:pos="4513"/>
        <w:tab w:val="clear" w:pos="9027"/>
      </w:tabs>
      <w:jc w:val="center"/>
    </w:pPr>
  </w:p>
  <w:p w:rsidR="00B531D9" w:rsidRPr="003A3E55" w:rsidP="00B531D9" w14:paraId="350BF7AD"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27297B2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A9D18E2"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79816F4A"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75975B79" w14:textId="77777777">
          <w:pPr>
            <w:jc w:val="right"/>
            <w:rPr>
              <w:b/>
              <w:color w:val="FF0000"/>
              <w:szCs w:val="18"/>
            </w:rPr>
          </w:pPr>
        </w:p>
      </w:tc>
    </w:tr>
    <w:bookmarkEnd w:id="1"/>
    <w:tr w14:paraId="4C232198"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07D06D8C"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6207465C" w14:textId="77777777">
          <w:pPr>
            <w:jc w:val="right"/>
            <w:rPr>
              <w:b/>
              <w:szCs w:val="18"/>
            </w:rPr>
          </w:pPr>
        </w:p>
      </w:tc>
    </w:tr>
    <w:tr w14:paraId="658E362F"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7ACCACD1"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190EBDA6" w14:textId="77777777">
          <w:pPr>
            <w:jc w:val="right"/>
            <w:rPr>
              <w:b/>
              <w:szCs w:val="18"/>
            </w:rPr>
          </w:pPr>
          <w:bookmarkStart w:id="2" w:name="bmkSymbols"/>
          <w:r w:rsidRPr="003A3E55">
            <w:rPr>
              <w:b/>
              <w:szCs w:val="18"/>
            </w:rPr>
            <w:t>G/TBT/N/CHL/760</w:t>
          </w:r>
          <w:bookmarkEnd w:id="2"/>
        </w:p>
      </w:tc>
    </w:tr>
    <w:tr w14:paraId="480D19AA"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1BC1A1B6"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6E658786" w14:textId="77777777">
          <w:pPr>
            <w:jc w:val="right"/>
            <w:rPr>
              <w:szCs w:val="18"/>
            </w:rPr>
          </w:pPr>
          <w:bookmarkStart w:id="3" w:name="spsDateDistribution"/>
          <w:bookmarkStart w:id="4" w:name="bmkDate"/>
          <w:r w:rsidRPr="00674766">
            <w:rPr>
              <w:szCs w:val="18"/>
            </w:rPr>
            <w:t>6 de noviembre de 2025</w:t>
          </w:r>
          <w:bookmarkEnd w:id="3"/>
          <w:bookmarkEnd w:id="4"/>
        </w:p>
      </w:tc>
    </w:tr>
    <w:tr w14:paraId="4CDF6A2F"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399E5D82" w14:textId="77777777">
          <w:pPr>
            <w:jc w:val="left"/>
            <w:rPr>
              <w:b/>
              <w:szCs w:val="18"/>
            </w:rPr>
          </w:pPr>
          <w:bookmarkStart w:id="5" w:name="bmkSerial"/>
          <w:r>
            <w:rPr>
              <w:rFonts w:ascii="Verdana" w:eastAsia="Verdana" w:hAnsi="Verdana" w:cs="Verdana"/>
              <w:b w:val="0"/>
              <w:color w:val="FF0000"/>
              <w:sz w:val="18"/>
            </w:rPr>
            <w:t>(25-7196)</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0B761A66"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1FB27880"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31F97095"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4960BFFF"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1CC5785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65569881">
    <w:abstractNumId w:val="8"/>
  </w:num>
  <w:num w:numId="2" w16cid:durableId="892620195">
    <w:abstractNumId w:val="3"/>
  </w:num>
  <w:num w:numId="3" w16cid:durableId="546986359">
    <w:abstractNumId w:val="2"/>
  </w:num>
  <w:num w:numId="4" w16cid:durableId="522943466">
    <w:abstractNumId w:val="1"/>
  </w:num>
  <w:num w:numId="5" w16cid:durableId="844322883">
    <w:abstractNumId w:val="0"/>
  </w:num>
  <w:num w:numId="6" w16cid:durableId="1060909733">
    <w:abstractNumId w:val="12"/>
  </w:num>
  <w:num w:numId="7" w16cid:durableId="1691681921">
    <w:abstractNumId w:val="10"/>
  </w:num>
  <w:num w:numId="8" w16cid:durableId="2118745962">
    <w:abstractNumId w:val="13"/>
  </w:num>
  <w:num w:numId="9" w16cid:durableId="301348987">
    <w:abstractNumId w:val="9"/>
  </w:num>
  <w:num w:numId="10" w16cid:durableId="1290239142">
    <w:abstractNumId w:val="7"/>
  </w:num>
  <w:num w:numId="11" w16cid:durableId="1611888233">
    <w:abstractNumId w:val="6"/>
  </w:num>
  <w:num w:numId="12" w16cid:durableId="417601255">
    <w:abstractNumId w:val="5"/>
  </w:num>
  <w:num w:numId="13" w16cid:durableId="1486776530">
    <w:abstractNumId w:val="4"/>
  </w:num>
  <w:num w:numId="14" w16cid:durableId="163589387">
    <w:abstractNumId w:val="11"/>
  </w:num>
  <w:num w:numId="15" w16cid:durableId="4745695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5F18"/>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8F4ECC"/>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47E52"/>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FDCE06"/>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CHL/25_07522_00_s.pdf" TargetMode="External" /><Relationship Id="rId6" Type="http://schemas.openxmlformats.org/officeDocument/2006/relationships/hyperlink" Target="https://planesynormas.mma.gob.cl/archivos/2025/proyectos/202-207._Resolucion_04827_2025_AP_Rev._DS129.pdf" TargetMode="External" /><Relationship Id="rId7" Type="http://schemas.openxmlformats.org/officeDocument/2006/relationships/hyperlink" Target="mailto:tbt_chile@subrei.gob.cl"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95d17a36-8a92-4fb7-bb5c-687620cbc21b</TitusGUID>
</titus>
</file>

<file path=customXml/itemProps1.xml><?xml version="1.0" encoding="utf-8"?>
<ds:datastoreItem xmlns:ds="http://schemas.openxmlformats.org/officeDocument/2006/customXml" ds:itemID="{7F2D5624-278E-46A1-BA18-B2E7EFB10AF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Greenleaves, Jane</cp:lastModifiedBy>
  <cp:revision>2</cp:revision>
  <dcterms:created xsi:type="dcterms:W3CDTF">2025-11-06T08:40:00Z</dcterms:created>
  <dcterms:modified xsi:type="dcterms:W3CDTF">2025-11-06T08:40:00Z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NC</vt:lpwstr>
  </property>
</Properties>
</file>