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27AC291F" w14:textId="77777777">
      <w:pPr>
        <w:pStyle w:val="Title"/>
        <w:rPr>
          <w:caps w:val="0"/>
          <w:kern w:val="0"/>
        </w:rPr>
      </w:pPr>
      <w:r w:rsidRPr="003A3E55">
        <w:rPr>
          <w:caps w:val="0"/>
          <w:kern w:val="0"/>
        </w:rPr>
        <w:t>NOTIFICACIÓN</w:t>
      </w:r>
    </w:p>
    <w:p w:rsidR="00B531D9" w:rsidRPr="003A3E55" w:rsidP="003A3E55" w14:paraId="12B24F6C" w14:textId="77777777">
      <w:pPr>
        <w:jc w:val="center"/>
      </w:pPr>
      <w:r w:rsidRPr="003A3E55">
        <w:t>Se da traslado de la notificación siguiente de conformidad con el artículo 10.6.</w:t>
      </w:r>
    </w:p>
    <w:p w:rsidR="00B531D9" w:rsidRPr="003A3E55" w:rsidP="003A3E55" w14:paraId="5D9DAECF"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437196E6" w14:textId="77777777" w:rsidTr="000F6A25">
        <w:tblPrEx>
          <w:tblW w:w="5000" w:type="pct"/>
          <w:tblLayout w:type="fixed"/>
          <w:tblLook w:val="0000"/>
        </w:tblPrEx>
        <w:tc>
          <w:tcPr>
            <w:tcW w:w="695" w:type="dxa"/>
            <w:tcBorders>
              <w:top w:val="double" w:sz="4" w:space="0" w:color="auto"/>
            </w:tcBorders>
          </w:tcPr>
          <w:p w:rsidR="00A52F73" w:rsidRPr="003A3E55" w:rsidP="003A3E55" w14:paraId="05482D78" w14:textId="77777777">
            <w:pPr>
              <w:spacing w:before="120" w:after="120"/>
              <w:rPr>
                <w:b/>
              </w:rPr>
            </w:pPr>
            <w:r w:rsidRPr="003A3E55">
              <w:rPr>
                <w:b/>
              </w:rPr>
              <w:t>1.</w:t>
            </w:r>
          </w:p>
        </w:tc>
        <w:tc>
          <w:tcPr>
            <w:tcW w:w="8285" w:type="dxa"/>
            <w:tcBorders>
              <w:top w:val="double" w:sz="4" w:space="0" w:color="auto"/>
            </w:tcBorders>
          </w:tcPr>
          <w:p w:rsidR="00A52F73" w:rsidRPr="003A3E55" w:rsidP="00946686" w14:paraId="3D050825" w14:textId="77777777">
            <w:pPr>
              <w:spacing w:before="120" w:after="120"/>
            </w:pPr>
            <w:r w:rsidRPr="003A3E55">
              <w:rPr>
                <w:b/>
              </w:rPr>
              <w:t>Miembro que notifica:</w:t>
            </w:r>
            <w:r w:rsidRPr="006A63E9" w:rsidR="00AF251E">
              <w:t xml:space="preserve"> </w:t>
            </w:r>
            <w:r w:rsidRPr="006A63E9" w:rsidR="00AF251E">
              <w:rPr>
                <w:u w:val="single"/>
              </w:rPr>
              <w:t>MÉXICO</w:t>
            </w:r>
          </w:p>
          <w:p w:rsidR="00A52F73" w:rsidRPr="003A3E55" w:rsidP="003A3E55" w14:paraId="05164C16" w14:textId="77777777">
            <w:pPr>
              <w:spacing w:after="120"/>
            </w:pPr>
            <w:r w:rsidRPr="003A3E55">
              <w:rPr>
                <w:b/>
              </w:rPr>
              <w:t>Si procede, nombre del gobierno local de que se trate (artículos 3.2 y 7.2):</w:t>
            </w:r>
            <w:r w:rsidRPr="006A63E9" w:rsidR="00AF251E">
              <w:t xml:space="preserve"> </w:t>
            </w:r>
          </w:p>
        </w:tc>
      </w:tr>
      <w:tr w14:paraId="3C4E3229" w14:textId="77777777" w:rsidTr="000F6A25">
        <w:tblPrEx>
          <w:tblW w:w="5000" w:type="pct"/>
          <w:tblLayout w:type="fixed"/>
          <w:tblLook w:val="0000"/>
        </w:tblPrEx>
        <w:tc>
          <w:tcPr>
            <w:tcW w:w="695" w:type="dxa"/>
          </w:tcPr>
          <w:p w:rsidR="00A52F73" w:rsidRPr="003A3E55" w:rsidP="003A3E55" w14:paraId="77B6C427" w14:textId="77777777">
            <w:pPr>
              <w:spacing w:before="120" w:after="120"/>
              <w:rPr>
                <w:b/>
              </w:rPr>
            </w:pPr>
            <w:r w:rsidRPr="003A3E55">
              <w:rPr>
                <w:b/>
              </w:rPr>
              <w:t>2.</w:t>
            </w:r>
          </w:p>
        </w:tc>
        <w:tc>
          <w:tcPr>
            <w:tcW w:w="8285" w:type="dxa"/>
          </w:tcPr>
          <w:p w:rsidR="00A52F73" w:rsidRPr="003A3E55" w:rsidP="00C94F02" w14:paraId="398FFAC3" w14:textId="77777777">
            <w:pPr>
              <w:spacing w:before="120" w:after="120"/>
            </w:pPr>
            <w:r w:rsidRPr="003A3E55">
              <w:rPr>
                <w:b/>
              </w:rPr>
              <w:t>Organismo responsable:</w:t>
            </w:r>
            <w:r w:rsidRPr="003A3E55" w:rsidR="00AF251E">
              <w:t xml:space="preserve"> </w:t>
            </w:r>
          </w:p>
          <w:p w:rsidR="00AF251E" w:rsidRPr="003A3E55" w:rsidP="00C94F02" w14:paraId="6393E893" w14:textId="77777777">
            <w:pPr>
              <w:spacing w:after="120"/>
            </w:pPr>
            <w:r w:rsidRPr="003A3E55">
              <w:t>Agencia Nacional de Seguridad Industrial y de Protección al Medio Ambiente del Sector Hidrocarburos (ASEA) de la Secretaría de Medio Ambiente y Recursos Naturales.</w:t>
            </w:r>
          </w:p>
        </w:tc>
      </w:tr>
      <w:tr w14:paraId="05AEC547" w14:textId="77777777" w:rsidTr="000F6A25">
        <w:tblPrEx>
          <w:tblW w:w="5000" w:type="pct"/>
          <w:tblLayout w:type="fixed"/>
          <w:tblLook w:val="0000"/>
        </w:tblPrEx>
        <w:tc>
          <w:tcPr>
            <w:tcW w:w="695" w:type="dxa"/>
          </w:tcPr>
          <w:p w:rsidR="00A52F73" w:rsidRPr="003A3E55" w:rsidP="003A3E55" w14:paraId="1EE711CF" w14:textId="77777777">
            <w:pPr>
              <w:spacing w:before="120" w:after="120"/>
              <w:rPr>
                <w:b/>
              </w:rPr>
            </w:pPr>
            <w:r w:rsidRPr="003A3E55">
              <w:rPr>
                <w:b/>
              </w:rPr>
              <w:t>3.</w:t>
            </w:r>
          </w:p>
        </w:tc>
        <w:tc>
          <w:tcPr>
            <w:tcW w:w="8285" w:type="dxa"/>
          </w:tcPr>
          <w:p w:rsidR="00A52F73" w:rsidRPr="003A3E55" w:rsidP="003A3E55" w14:paraId="21A2ED8B" w14:textId="77777777">
            <w:pPr>
              <w:spacing w:before="120" w:after="120"/>
            </w:pPr>
            <w:r w:rsidRPr="003A3E55">
              <w:rPr>
                <w:b/>
              </w:rPr>
              <w:t>Notificación hecha en virtud del artículo 2.9.2 [ ], 2.10.1 [X], 5.6.2 [ ], 5.7.1 [X],</w:t>
            </w:r>
            <w:r w:rsidR="00ED3396">
              <w:rPr>
                <w:b/>
              </w:rPr>
              <w:t xml:space="preserve"> </w:t>
            </w:r>
            <w:r w:rsidR="001B6B1E">
              <w:rPr>
                <w:b/>
              </w:rPr>
              <w:t>3.2 [ ], 7.2 [ ],</w:t>
            </w:r>
            <w:r w:rsidRPr="003A3E55">
              <w:rPr>
                <w:b/>
              </w:rPr>
              <w:t xml:space="preserve"> o en virtud de</w:t>
            </w:r>
            <w:r w:rsidR="008E4B39">
              <w:rPr>
                <w:b/>
              </w:rPr>
              <w:t>:</w:t>
            </w:r>
            <w:r w:rsidR="001B6B1E">
              <w:t xml:space="preserve"> La actividad de Transporte de Gas Licuado de Petróleo mediante Semirremolque y Auto-tanque es una actividad de alto riesgo por las propiedades y comportamiento inherentes de la sustancia. Adicionalmente se han registrado múltiples accidentes que han dejado daños considerables a la población, incluyendo la pérdida de vidas humanas, requiriendo establecer las especificaciones técnicas y requisitos para garantizar la Seguridad Industrial, Seguridad Operativa y la protección al medio ambiente para las personas y las instalaciones.</w:t>
            </w:r>
          </w:p>
          <w:p w:rsidR="001B6B1E" w:rsidP="003A3E55" w14:paraId="027FC1F2" w14:textId="77777777">
            <w:pPr>
              <w:spacing w:before="120" w:after="120"/>
            </w:pPr>
            <w:r>
              <w:t>Por lo anterior, es necesario establecer las especificaciones técnicas y requisitos en materia de Seguridad Industrial, Seguridad Operativa y protección al medio ambiente para los Auto-tanques y Semirremolques, así como para los Tractocamiones empleados para el arrastre del Semirremolque, considerados estos como parte de la infraestructura empleada en el Transporte de Gas Licuado de Petróleo, con la finalidad de prevenir, mitigar y controlar los riesgos asociados a la actividad.</w:t>
            </w:r>
          </w:p>
          <w:p w:rsidR="001B6B1E" w:rsidP="003A3E55" w14:paraId="7A400939" w14:textId="77777777">
            <w:pPr>
              <w:spacing w:before="120" w:after="120"/>
            </w:pPr>
            <w:r>
              <w:t xml:space="preserve">Es por ello, que surge la necesidad de emitir la presente Norma Oficial Mexicana de Emergencia, que establece en materia de Seguridad Industrial, Seguridad Operativa y protección al medio ambiente los requisitos y especificaciones para la prevención, control y mitigación de los riesgos que pueden presentarse durante el desarrollo de dicha actividad, considerando, entre otras, las condiciones que debe tener el Auto-tanque y el Semirremolque, con su correspondiente Tractocamión sin el cual no podría realizar </w:t>
            </w:r>
            <w:r>
              <w:t>la actividad de Transporte, para contener y trasladar de forma segura el Gas Licuado de Petróleo, la competencia del operador de estas Unidades de Transporte y los procedimientos que permitan realizar la actividad de forma segura; para favorecer el desarrollo de una industria segura y la consecución de los objetivos legítimos de interés público a cargo de la ASEA.</w:t>
            </w:r>
          </w:p>
        </w:tc>
      </w:tr>
      <w:tr w14:paraId="7FFF4C57" w14:textId="77777777" w:rsidTr="000F6A25">
        <w:tblPrEx>
          <w:tblW w:w="5000" w:type="pct"/>
          <w:tblLayout w:type="fixed"/>
          <w:tblLook w:val="0000"/>
        </w:tblPrEx>
        <w:tc>
          <w:tcPr>
            <w:tcW w:w="695" w:type="dxa"/>
          </w:tcPr>
          <w:p w:rsidR="00A52F73" w:rsidRPr="003A3E55" w:rsidP="003A3E55" w14:paraId="1CD2D8B0" w14:textId="77777777">
            <w:pPr>
              <w:spacing w:before="120" w:after="120"/>
              <w:rPr>
                <w:b/>
              </w:rPr>
            </w:pPr>
            <w:r w:rsidRPr="003A3E55">
              <w:rPr>
                <w:b/>
              </w:rPr>
              <w:t>4.</w:t>
            </w:r>
          </w:p>
        </w:tc>
        <w:tc>
          <w:tcPr>
            <w:tcW w:w="8285" w:type="dxa"/>
          </w:tcPr>
          <w:p w:rsidR="00A52F73" w:rsidRPr="003A3E55" w:rsidP="003A3E55" w14:paraId="5FCF8BA3"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w:t>
            </w:r>
            <w:r w:rsidRPr="003A3E55" w:rsidR="00AF251E">
              <w:rPr>
                <w:b/>
                <w:bCs/>
                <w:i/>
                <w:iCs/>
              </w:rPr>
              <w:t>Aplica en todo el territorio nacional y es de observancia general y obligatoria para los Regulados que lleven a cabo las siguientes actividades:</w:t>
            </w:r>
          </w:p>
          <w:p w:rsidR="00AF251E" w:rsidRPr="003A3E55" w:rsidP="003A3E55" w14:paraId="382CD2CB" w14:textId="77777777">
            <w:pPr>
              <w:numPr>
                <w:ilvl w:val="0"/>
                <w:numId w:val="16"/>
              </w:numPr>
              <w:spacing w:before="120" w:after="120"/>
            </w:pPr>
            <w:r w:rsidRPr="003A3E55">
              <w:t>a. El Transporte de Gas Licuado de Petróleo por Semirremolque, con su respectivo Tractocamión en la configuración aplicable, a partir del punto de transvase (válvula) para la carga del Recipiente No Desmontable con GLP en una Instalación regulada, el traslado y hasta el punto de transvase (válvula) de la descarga de GLP del Semirremolque en otra Instalación regulada o a una Instalación de aprovechamiento industrial, y</w:t>
            </w:r>
          </w:p>
          <w:p w:rsidR="00AF251E" w:rsidRPr="003A3E55" w:rsidP="003A3E55" w14:paraId="2A9F82C6" w14:textId="77777777">
            <w:pPr>
              <w:numPr>
                <w:ilvl w:val="0"/>
                <w:numId w:val="16"/>
              </w:numPr>
              <w:spacing w:before="120" w:after="120"/>
            </w:pPr>
            <w:r w:rsidRPr="003A3E55">
              <w:t>b. El Transporte de Gas Licuado de Petróleo por Auto-tanque, a partir del punto de transvase (válvula) para la carga del Recipiente No Desmontable con GLP en una Instalación regulada, el traslado y hasta el punto de transvase (válvula) de la descarga de GLP del Auto-tanque en otra Instalación regulada o a una Instalación de aprovechamiento industrial.</w:t>
            </w:r>
          </w:p>
          <w:p w:rsidR="00AF251E" w:rsidRPr="003A3E55" w:rsidP="003A3E55" w14:paraId="4468B547" w14:textId="77777777">
            <w:pPr>
              <w:spacing w:before="120" w:after="120"/>
            </w:pPr>
            <w:r w:rsidRPr="003A3E55">
              <w:t>Lo anterior, para el inicio de operación, durante la operación y mantenimiento y hasta el término de la operación de la Unidad de Transporte.</w:t>
            </w:r>
          </w:p>
        </w:tc>
      </w:tr>
      <w:tr w14:paraId="2B0FDBE7" w14:textId="77777777" w:rsidTr="000F6A25">
        <w:tblPrEx>
          <w:tblW w:w="5000" w:type="pct"/>
          <w:tblLayout w:type="fixed"/>
          <w:tblLook w:val="0000"/>
        </w:tblPrEx>
        <w:tc>
          <w:tcPr>
            <w:tcW w:w="695" w:type="dxa"/>
          </w:tcPr>
          <w:p w:rsidR="00A52F73" w:rsidRPr="003A3E55" w:rsidP="003A3E55" w14:paraId="0020A6DC" w14:textId="77777777">
            <w:pPr>
              <w:spacing w:before="120" w:after="120"/>
              <w:rPr>
                <w:b/>
              </w:rPr>
            </w:pPr>
            <w:r w:rsidRPr="003A3E55">
              <w:rPr>
                <w:b/>
              </w:rPr>
              <w:t>5.</w:t>
            </w:r>
          </w:p>
        </w:tc>
        <w:tc>
          <w:tcPr>
            <w:tcW w:w="8285" w:type="dxa"/>
          </w:tcPr>
          <w:p w:rsidR="00A52F73" w:rsidP="003A3E55" w14:paraId="7FAE0622"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Norma Oficial Mexicana de Emergencia NOM-EM-006-ASEA-2025, Transporte de Gas Licuado de Petróleo.; (26 página(s), en español)</w:t>
            </w:r>
          </w:p>
          <w:p w:rsidR="00145C22" w:rsidRPr="00F70F54" w:rsidP="003A3E55" w14:paraId="522E39BE"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526A0BC2" w14:textId="77777777">
            <w:pPr>
              <w:pBdr>
                <w:top w:val="none" w:sz="0" w:space="4" w:color="auto"/>
                <w:bottom w:val="none" w:sz="0" w:space="4" w:color="auto"/>
              </w:pBdr>
              <w:rPr>
                <w:bCs/>
              </w:rPr>
            </w:pPr>
            <w:hyperlink r:id="rId4" w:tgtFrame="_blank" w:history="1">
              <w:r>
                <w:rPr>
                  <w:bCs/>
                  <w:color w:val="0000FF"/>
                  <w:u w:val="single"/>
                </w:rPr>
                <w:t>https://members.wto.org/crnattachments/2025/TBT/MEX/25_07358_00_s.pdf</w:t>
              </w:r>
            </w:hyperlink>
          </w:p>
          <w:p w:rsidR="00F70F54" w:rsidP="003A3E55" w14:paraId="4951F43B" w14:textId="77777777">
            <w:pPr>
              <w:rPr>
                <w:bCs/>
              </w:rPr>
            </w:pPr>
            <w:hyperlink r:id="rId5" w:anchor="gsc.tab=0" w:tgtFrame="_blank" w:history="1">
              <w:r>
                <w:rPr>
                  <w:bCs/>
                  <w:color w:val="0000FF"/>
                  <w:u w:val="single"/>
                </w:rPr>
                <w:t>https://www.dof.gob.mx/nota_detalle.php?codigo=5769160&amp;fecha=03/10/2025#gsc.tab=0</w:t>
              </w:r>
            </w:hyperlink>
          </w:p>
          <w:p w:rsidR="00F70F54" w:rsidP="003A3E55" w14:paraId="681364B5" w14:textId="77777777">
            <w:pPr>
              <w:rPr>
                <w:bCs/>
              </w:rPr>
            </w:pPr>
            <w:r>
              <w:rPr>
                <w:bCs/>
              </w:rPr>
              <w:t>Secretaría de Economía</w:t>
            </w:r>
          </w:p>
          <w:p w:rsidR="00F70F54" w:rsidP="003A3E55" w14:paraId="4B0B5576" w14:textId="77777777">
            <w:pPr>
              <w:rPr>
                <w:bCs/>
              </w:rPr>
            </w:pPr>
            <w:r>
              <w:rPr>
                <w:bCs/>
              </w:rPr>
              <w:t>Unidad de Normatividad, Competitividad y Competencia</w:t>
            </w:r>
          </w:p>
          <w:p w:rsidR="00F70F54" w:rsidP="003A3E55" w14:paraId="0CDA6451" w14:textId="77777777">
            <w:pPr>
              <w:rPr>
                <w:bCs/>
              </w:rPr>
            </w:pPr>
            <w:r>
              <w:rPr>
                <w:bCs/>
              </w:rPr>
              <w:t>Dirección General de Normas</w:t>
            </w:r>
          </w:p>
          <w:p w:rsidR="00F70F54" w:rsidP="003A3E55" w14:paraId="31471FBD" w14:textId="77777777">
            <w:pPr>
              <w:rPr>
                <w:bCs/>
              </w:rPr>
            </w:pPr>
            <w:r>
              <w:rPr>
                <w:bCs/>
              </w:rPr>
              <w:t>Ariel Noel Gutiérrez Contreras, Coordinador de la Infraestructura de la Calidad</w:t>
            </w:r>
          </w:p>
          <w:p w:rsidR="00F70F54" w:rsidP="003A3E55" w14:paraId="109964DD" w14:textId="77777777">
            <w:pPr>
              <w:rPr>
                <w:bCs/>
              </w:rPr>
            </w:pPr>
            <w:r>
              <w:rPr>
                <w:bCs/>
              </w:rPr>
              <w:t>Pachuca 189, Colonia Condesa, Cuauhtémoc Ciudad de México 06140 Tel: +(52 55) 5729 91 00; ext. 13218</w:t>
            </w:r>
          </w:p>
          <w:p w:rsidR="00F70F54" w:rsidP="003A3E55" w14:paraId="67BF2589" w14:textId="77777777">
            <w:pPr>
              <w:spacing w:after="120"/>
              <w:rPr>
                <w:bCs/>
              </w:rPr>
            </w:pPr>
            <w:r>
              <w:rPr>
                <w:bCs/>
              </w:rPr>
              <w:t xml:space="preserve">Correos electrónicos: </w:t>
            </w:r>
            <w:hyperlink r:id="rId6" w:history="1">
              <w:r>
                <w:rPr>
                  <w:bCs/>
                  <w:color w:val="0000FF"/>
                  <w:u w:val="single"/>
                </w:rPr>
                <w:t>ariel.gutierrez@economia.gob.mx</w:t>
              </w:r>
            </w:hyperlink>
            <w:r>
              <w:rPr>
                <w:bCs/>
              </w:rPr>
              <w:t xml:space="preserve"> y </w:t>
            </w:r>
            <w:hyperlink r:id="rId7" w:history="1">
              <w:r>
                <w:rPr>
                  <w:bCs/>
                  <w:color w:val="0000FF"/>
                  <w:u w:val="single"/>
                </w:rPr>
                <w:t>dgn.industriabasica@economia.gob.mx</w:t>
              </w:r>
            </w:hyperlink>
          </w:p>
        </w:tc>
      </w:tr>
      <w:tr w14:paraId="45ED2777" w14:textId="77777777" w:rsidTr="000F6A25">
        <w:tblPrEx>
          <w:tblW w:w="5000" w:type="pct"/>
          <w:tblLayout w:type="fixed"/>
          <w:tblLook w:val="0000"/>
        </w:tblPrEx>
        <w:tc>
          <w:tcPr>
            <w:tcW w:w="695" w:type="dxa"/>
          </w:tcPr>
          <w:p w:rsidR="00A52F73" w:rsidRPr="003A3E55" w:rsidP="003A3E55" w14:paraId="1A73EC4F" w14:textId="77777777">
            <w:pPr>
              <w:spacing w:before="120" w:after="120"/>
              <w:rPr>
                <w:b/>
              </w:rPr>
            </w:pPr>
            <w:r w:rsidRPr="003A3E55">
              <w:rPr>
                <w:b/>
              </w:rPr>
              <w:t>6.</w:t>
            </w:r>
          </w:p>
        </w:tc>
        <w:tc>
          <w:tcPr>
            <w:tcW w:w="8285" w:type="dxa"/>
          </w:tcPr>
          <w:p w:rsidR="00A52F73" w:rsidRPr="003A3E55" w:rsidP="003A3E55" w14:paraId="6C3D5FCC" w14:textId="77777777">
            <w:pPr>
              <w:spacing w:before="120" w:after="120"/>
            </w:pPr>
            <w:r w:rsidRPr="000C0749">
              <w:rPr>
                <w:b/>
              </w:rPr>
              <w:t>Descripción del contenido:</w:t>
            </w:r>
            <w:r w:rsidRPr="003A3E55" w:rsidR="00AF251E">
              <w:t xml:space="preserve"> </w:t>
            </w:r>
            <w:r w:rsidRPr="003A3E55" w:rsidR="00AF251E">
              <w:rPr>
                <w:i/>
                <w:iCs/>
              </w:rPr>
              <w:t>Objetivo:</w:t>
            </w:r>
            <w:r w:rsidRPr="003A3E55" w:rsidR="00AF251E">
              <w:t xml:space="preserve"> La presente Norma Oficial Mexicana de Emergencia establece las especificaciones técnicas y requisitos de Seguridad Industrial, Seguridad Operativa y protección al medio ambiente que deben cumplir los Regulados que realicen la actividad de Transporte de Gas Licuado de Petróleo por medio de Auto-tanque y Semirremolque, en este último caso con su respectivo Tractocamión (Tractocamión-Semirremolque).</w:t>
            </w:r>
          </w:p>
          <w:p w:rsidR="00AF251E" w:rsidRPr="003A3E55" w:rsidP="003A3E55" w14:paraId="099111CB" w14:textId="77777777">
            <w:pPr>
              <w:spacing w:before="120" w:after="120"/>
            </w:pPr>
            <w:r w:rsidRPr="003A3E55">
              <w:rPr>
                <w:i/>
                <w:iCs/>
              </w:rPr>
              <w:t>Campo de aplicación:</w:t>
            </w:r>
          </w:p>
          <w:p w:rsidR="00AF251E" w:rsidRPr="003A3E55" w:rsidP="003A3E55" w14:paraId="1D6455D1" w14:textId="77777777">
            <w:pPr>
              <w:spacing w:before="120" w:after="120"/>
            </w:pPr>
            <w:r w:rsidRPr="003A3E55">
              <w:rPr>
                <w:i/>
                <w:iCs/>
              </w:rPr>
              <w:t>Aplica en todo el territorio nacional y es de observancia general y obligatoria para los Regulados que lleven a cabo las siguientes actividades:</w:t>
            </w:r>
          </w:p>
          <w:p w:rsidR="00AF251E" w:rsidRPr="003A3E55" w:rsidP="003A3E55" w14:paraId="2D3CE7D4" w14:textId="77777777">
            <w:pPr>
              <w:numPr>
                <w:ilvl w:val="0"/>
                <w:numId w:val="17"/>
              </w:numPr>
              <w:spacing w:before="120" w:after="120"/>
            </w:pPr>
            <w:r w:rsidRPr="003A3E55">
              <w:t>a. El Transporte de Gas Licuado de Petróleo por Semirremolque, con su respectivo Tractocamión en la configuración aplicable, a partir del punto de transvase (válvula) para la carga del Recipiente No Desmontable con GLP en una Instalación regulada, el traslado y hasta el punto de transvase (válvula) de la descarga de GLP del Semirremolque en otra Instalación regulada o a una Instalación de aprovechamiento industrial, y</w:t>
            </w:r>
          </w:p>
          <w:p w:rsidR="00AF251E" w:rsidRPr="003A3E55" w:rsidP="003A3E55" w14:paraId="14966CA3" w14:textId="77777777">
            <w:pPr>
              <w:numPr>
                <w:ilvl w:val="0"/>
                <w:numId w:val="17"/>
              </w:numPr>
              <w:spacing w:before="120" w:after="120"/>
            </w:pPr>
            <w:r w:rsidRPr="003A3E55">
              <w:t>b. El Transporte de Gas Licuado de Petróleo por Auto-tanque, a partir del punto de transvase (válvula) para la carga del Recipiente No Desmontable con GLP en una Instalación regulada, el traslado y hasta el punto de transvase (válvula) de la descarga de GLP del Auto-tanque en otra Instalación regulada o a una Instalación de aprovechamiento industrial.</w:t>
            </w:r>
          </w:p>
          <w:p w:rsidR="00AF251E" w:rsidRPr="003A3E55" w:rsidP="003A3E55" w14:paraId="69D25AAA" w14:textId="77777777">
            <w:pPr>
              <w:spacing w:before="120" w:after="120"/>
            </w:pPr>
            <w:r w:rsidRPr="003A3E55">
              <w:t>Lo anterior, para el inicio de operación, durante la operación y mantenimiento y hasta el término de la operación de la Unidad de Transporte.</w:t>
            </w:r>
          </w:p>
        </w:tc>
      </w:tr>
      <w:tr w14:paraId="7C067B3C" w14:textId="77777777" w:rsidTr="000F6A25">
        <w:tblPrEx>
          <w:tblW w:w="5000" w:type="pct"/>
          <w:tblLayout w:type="fixed"/>
          <w:tblLook w:val="0000"/>
        </w:tblPrEx>
        <w:tc>
          <w:tcPr>
            <w:tcW w:w="695" w:type="dxa"/>
          </w:tcPr>
          <w:p w:rsidR="00A52F73" w:rsidRPr="003A3E55" w:rsidP="003A3E55" w14:paraId="360FD5CD" w14:textId="77777777">
            <w:pPr>
              <w:spacing w:before="120" w:after="120"/>
              <w:rPr>
                <w:b/>
              </w:rPr>
            </w:pPr>
            <w:r w:rsidRPr="003A3E55">
              <w:rPr>
                <w:b/>
              </w:rPr>
              <w:t>7.</w:t>
            </w:r>
          </w:p>
        </w:tc>
        <w:tc>
          <w:tcPr>
            <w:tcW w:w="8285" w:type="dxa"/>
          </w:tcPr>
          <w:p w:rsidR="00A52F73" w:rsidRPr="003A3E55" w:rsidP="00A5462B" w14:paraId="1889DD96" w14:textId="77777777">
            <w:pPr>
              <w:spacing w:before="120" w:after="120"/>
            </w:pPr>
            <w:r w:rsidRPr="000C0749">
              <w:rPr>
                <w:b/>
              </w:rPr>
              <w:t>Objetivo y razón de ser, incluida, cuando proceda, la naturaleza de los problemas urgentes:</w:t>
            </w:r>
            <w:r w:rsidRPr="003A3E55" w:rsidR="00412DAF">
              <w:t xml:space="preserve"> Protección de la salud o seguridad humanas; Protección del medio ambiente</w:t>
            </w:r>
          </w:p>
        </w:tc>
      </w:tr>
      <w:tr w14:paraId="183E7374" w14:textId="77777777" w:rsidTr="000F6A25">
        <w:tblPrEx>
          <w:tblW w:w="5000" w:type="pct"/>
          <w:tblLayout w:type="fixed"/>
          <w:tblLook w:val="0000"/>
        </w:tblPrEx>
        <w:tc>
          <w:tcPr>
            <w:tcW w:w="695" w:type="dxa"/>
          </w:tcPr>
          <w:p w:rsidR="00A52F73" w:rsidRPr="003A3E55" w:rsidP="00617B12" w14:paraId="1FB2B265" w14:textId="77777777">
            <w:pPr>
              <w:spacing w:before="120" w:after="120"/>
              <w:rPr>
                <w:b/>
              </w:rPr>
            </w:pPr>
            <w:r w:rsidRPr="003A3E55">
              <w:rPr>
                <w:b/>
              </w:rPr>
              <w:t>8.</w:t>
            </w:r>
          </w:p>
        </w:tc>
        <w:tc>
          <w:tcPr>
            <w:tcW w:w="8285" w:type="dxa"/>
          </w:tcPr>
          <w:p w:rsidR="00145C22" w:rsidRPr="00F70F54" w:rsidP="005037AE" w14:paraId="2572A170" w14:textId="77777777">
            <w:pPr>
              <w:spacing w:before="120" w:after="120"/>
              <w:rPr>
                <w:bCs/>
              </w:rPr>
            </w:pPr>
            <w:r w:rsidRPr="000C0749">
              <w:rPr>
                <w:b/>
              </w:rPr>
              <w:t>Documentos pertinentes:</w:t>
            </w:r>
            <w:r w:rsidRPr="003A3E55" w:rsidR="00AF251E">
              <w:t xml:space="preserve"> </w:t>
            </w:r>
          </w:p>
          <w:p w:rsidR="00AF251E" w:rsidRPr="003A3E55" w:rsidP="005037AE" w14:paraId="39A809DF" w14:textId="77777777">
            <w:pPr>
              <w:spacing w:before="120" w:after="120"/>
            </w:pPr>
            <w:r w:rsidRPr="003A3E55">
              <w:t>Para la correcta aplicación de la presente Norma Oficial Mexicana de Emergencia deben consultarse los siguientes documentos normativos vigentes o aquellos que los modifiquen o sustituyan:</w:t>
            </w:r>
          </w:p>
          <w:p w:rsidR="00AF251E" w:rsidRPr="003A3E55" w:rsidP="005037AE" w14:paraId="7E8F9516" w14:textId="77777777">
            <w:pPr>
              <w:numPr>
                <w:ilvl w:val="0"/>
                <w:numId w:val="18"/>
              </w:numPr>
              <w:spacing w:before="120" w:after="120"/>
            </w:pPr>
            <w:r w:rsidRPr="003A3E55">
              <w:t>NOM-005-SESH-2010, Equipos de carburación de Gas L.P. en motores de combustión interna. Instalación y mantenimiento. Publicada en el Diario Oficial de la Federación el 26 de noviembre de 2010.</w:t>
            </w:r>
          </w:p>
          <w:p w:rsidR="00AF251E" w:rsidRPr="003A3E55" w:rsidP="005037AE" w14:paraId="65576E77" w14:textId="77777777">
            <w:pPr>
              <w:numPr>
                <w:ilvl w:val="0"/>
                <w:numId w:val="18"/>
              </w:numPr>
              <w:spacing w:before="120" w:after="120"/>
            </w:pPr>
            <w:r w:rsidRPr="003A3E55">
              <w:t>NOM-009-SESH-2011, Recipientes para contener Gas L.P., tipo no transportable. Especificaciones y métodos de prueba. Publicada en el Diario Oficial de la Federación el 8 de septiembre de 2011.</w:t>
            </w:r>
          </w:p>
          <w:p w:rsidR="00AF251E" w:rsidRPr="003A3E55" w:rsidP="005037AE" w14:paraId="6635C6A3" w14:textId="77777777">
            <w:pPr>
              <w:numPr>
                <w:ilvl w:val="0"/>
                <w:numId w:val="18"/>
              </w:numPr>
              <w:spacing w:before="120" w:after="120"/>
            </w:pPr>
            <w:r w:rsidRPr="003A3E55">
              <w:t>NOM-006-SCT-2-2023, Aspectos básicos para la revisión ocular de la unidad destinada al transporte de mercancías peligrosas. Publicada en el Diario Oficial de la Federación el 23 de mayo de 2024.</w:t>
            </w:r>
          </w:p>
          <w:p w:rsidR="00AF251E" w:rsidRPr="003A3E55" w:rsidP="005037AE" w14:paraId="38123B46" w14:textId="77777777">
            <w:pPr>
              <w:numPr>
                <w:ilvl w:val="0"/>
                <w:numId w:val="18"/>
              </w:numPr>
              <w:spacing w:before="120" w:after="120"/>
            </w:pPr>
            <w:r w:rsidRPr="003A3E55">
              <w:t>NOM-019-SCT2/2015, Especificaciones técnicas y disposiciones generales para la limpieza y control de remanentes de substancias y residuos peligrosos en las unidades que transportan materiales y residuos peligrosos. Publicada en el Diario Oficial de la Federación el 27 de enero de 2016.</w:t>
            </w:r>
          </w:p>
          <w:p w:rsidR="00AF251E" w:rsidRPr="003A3E55" w:rsidP="005037AE" w14:paraId="2E78C106" w14:textId="77777777">
            <w:pPr>
              <w:numPr>
                <w:ilvl w:val="0"/>
                <w:numId w:val="18"/>
              </w:numPr>
              <w:spacing w:before="120" w:after="120"/>
            </w:pPr>
            <w:r w:rsidRPr="003A3E55">
              <w:t>NOM-035-SCT-2-2022, Remolques, semirremolques y convertidores-Especificaciones de seguridad y métodos de prueba. Publicada en el Diario Oficial de la Federación el 1 de marzo de 2022.</w:t>
            </w:r>
          </w:p>
          <w:p w:rsidR="00AF251E" w:rsidRPr="003A3E55" w:rsidP="005037AE" w14:paraId="6991DFCA" w14:textId="77777777">
            <w:pPr>
              <w:numPr>
                <w:ilvl w:val="0"/>
                <w:numId w:val="18"/>
              </w:numPr>
              <w:spacing w:before="120" w:after="120"/>
            </w:pPr>
            <w:r w:rsidRPr="003A3E55">
              <w:t>NOM-057-SCT2/2003, Requerimientos generales para el diseño y construcción de autotanques destinados al transporte de gases comprimidos, especificación SCT 331. Publicada en el Diario Oficial de la Federación el 26 de enero de 2004.</w:t>
            </w:r>
          </w:p>
          <w:p w:rsidR="00AF251E" w:rsidRPr="003A3E55" w:rsidP="005037AE" w14:paraId="1C4335B5" w14:textId="77777777">
            <w:pPr>
              <w:numPr>
                <w:ilvl w:val="0"/>
                <w:numId w:val="18"/>
              </w:numPr>
              <w:spacing w:before="120" w:after="120"/>
            </w:pPr>
            <w:r w:rsidRPr="003A3E55">
              <w:t>NOM-068-SCT-2-2014, Transporte terrestre-Servicio de autotransporte federal de pasaje, turismo, carga, sus servicios auxiliares y transporte privado-Condiciones físico-mecánica y de seguridad para la operación en vías generales de comunicación de jurisdicción federal. Publicada en el Diario Oficial de la Federación el 19 de enero de 2015.</w:t>
            </w:r>
          </w:p>
          <w:p w:rsidR="00AF251E" w:rsidRPr="003A3E55" w:rsidP="005037AE" w14:paraId="597014C1" w14:textId="77777777">
            <w:pPr>
              <w:numPr>
                <w:ilvl w:val="0"/>
                <w:numId w:val="18"/>
              </w:numPr>
              <w:spacing w:before="120" w:after="120"/>
            </w:pPr>
            <w:r w:rsidRPr="003A3E55">
              <w:t>NOM-013-SEDG-2002, Evaluación de espesores mediante medición ultrasónica usando el método de pulso-eco, para la verificación de recipientes tipo no portátil para contener Gas L.P., en uso. Publicada en el Diario Oficial de la Federación el 26 de abril de 2002.</w:t>
            </w:r>
          </w:p>
          <w:p w:rsidR="00AF251E" w:rsidRPr="003A3E55" w:rsidP="005037AE" w14:paraId="3BD90C33" w14:textId="77777777">
            <w:pPr>
              <w:numPr>
                <w:ilvl w:val="0"/>
                <w:numId w:val="18"/>
              </w:numPr>
              <w:spacing w:before="120" w:after="120"/>
            </w:pPr>
            <w:r w:rsidRPr="003A3E55">
              <w:t>NMX-X-013-SCFI-2011, Gas L.P.- Válvulas de Exceso de Flujo y de No Retroceso, que se utilizan en tuberías y recipientes - Especificaciones y Métodos de Prueba (cancela a la NMX-X-013-SCFI-2005). Declaratoria de vigencia publicada en el Diario Oficial de la Federación el 16 de agosto de 2011.</w:t>
            </w:r>
          </w:p>
          <w:p w:rsidR="00AF251E" w:rsidRPr="003A3E55" w:rsidP="005037AE" w14:paraId="10B5E370" w14:textId="77777777">
            <w:pPr>
              <w:numPr>
                <w:ilvl w:val="0"/>
                <w:numId w:val="18"/>
              </w:numPr>
              <w:spacing w:before="120" w:after="120"/>
            </w:pPr>
            <w:r w:rsidRPr="003A3E55">
              <w:t>NMX-B-482-CANACERO-2016, Industria siderúrgica-capacitación, calificación y certificación de personal en ensayos no destructivos (cancela a la NMX-B-482-1991). Declaratoria de vigencia publicada en el Diario Oficial de la Federación el 20 de octubre de 2016.</w:t>
            </w:r>
          </w:p>
          <w:p w:rsidR="00AF251E" w:rsidRPr="003A3E55" w:rsidP="005037AE" w14:paraId="2CE2EA2C" w14:textId="77777777">
            <w:pPr>
              <w:numPr>
                <w:ilvl w:val="0"/>
                <w:numId w:val="18"/>
              </w:numPr>
              <w:spacing w:before="120" w:after="120"/>
            </w:pPr>
            <w:r w:rsidRPr="003A3E55">
              <w:t>Acuerdo de la Comisión Nacional de Energía por el que se emiten las Disposiciones administrativas de carácter general que establecen los Lineamientos para el balizado y requerimientos técnicos y de interoperabilidad que debe cumplir el sistema de posicionamiento global de unidades vehiculares registradas en los permisos de transporte y distribución por medios distintos a ductos de petrolíferos, gas licuado de petróleo y petroquímicos. Publicada en el Diario Oficial de la Federación el 23 de septiembre de 20</w:t>
            </w:r>
            <w:r w:rsidRPr="003A3E55">
              <w:t>25.</w:t>
            </w:r>
          </w:p>
        </w:tc>
      </w:tr>
      <w:tr w14:paraId="16A68E1E" w14:textId="77777777" w:rsidTr="000F6A25">
        <w:tblPrEx>
          <w:tblW w:w="5000" w:type="pct"/>
          <w:tblLayout w:type="fixed"/>
          <w:tblLook w:val="0000"/>
        </w:tblPrEx>
        <w:tc>
          <w:tcPr>
            <w:tcW w:w="695" w:type="dxa"/>
          </w:tcPr>
          <w:p w:rsidR="00AF251E" w:rsidRPr="003A3E55" w:rsidP="003A3E55" w14:paraId="2EDFD7F9" w14:textId="77777777">
            <w:pPr>
              <w:spacing w:before="120" w:after="120"/>
              <w:rPr>
                <w:b/>
              </w:rPr>
            </w:pPr>
            <w:r w:rsidRPr="003A3E55">
              <w:rPr>
                <w:b/>
              </w:rPr>
              <w:t>9.</w:t>
            </w:r>
          </w:p>
        </w:tc>
        <w:tc>
          <w:tcPr>
            <w:tcW w:w="8285" w:type="dxa"/>
          </w:tcPr>
          <w:p w:rsidR="00AF251E" w:rsidRPr="003A3E55" w:rsidP="009F7158" w14:paraId="5C6D3316" w14:textId="77777777">
            <w:pPr>
              <w:spacing w:before="120" w:after="120"/>
              <w:rPr>
                <w:bCs/>
              </w:rPr>
            </w:pPr>
            <w:r w:rsidRPr="000C0749">
              <w:rPr>
                <w:b/>
              </w:rPr>
              <w:t>Fecha propuesta de adopción:</w:t>
            </w:r>
            <w:r w:rsidRPr="006A63E9">
              <w:t xml:space="preserve"> Por determinar</w:t>
            </w:r>
          </w:p>
          <w:p w:rsidR="00AF251E" w:rsidRPr="003A3E55" w:rsidP="009F7158" w14:paraId="644DC5B5" w14:textId="77777777">
            <w:pPr>
              <w:spacing w:after="120"/>
              <w:rPr>
                <w:b/>
              </w:rPr>
            </w:pPr>
            <w:r w:rsidRPr="000C0749">
              <w:rPr>
                <w:b/>
              </w:rPr>
              <w:t>Fecha propuesta de adopción y entrada en vigor:</w:t>
            </w:r>
            <w:r w:rsidRPr="006A63E9">
              <w:t xml:space="preserve"> Por determinar; La presente Norma Oficial Mexicana de Emergencia NOM-EM-006-ASEA-2025, Transporte de Gas Licuado de Petróleo entrará en vigor al día siguiente de su publicación en el Diario Oficial de la Federación y tendrá una vigencia de seis meses a partir de su entrada en vigor.</w:t>
            </w:r>
          </w:p>
        </w:tc>
      </w:tr>
      <w:tr w14:paraId="62FEDB21" w14:textId="77777777" w:rsidTr="000F6A25">
        <w:tblPrEx>
          <w:tblW w:w="5000" w:type="pct"/>
          <w:tblLayout w:type="fixed"/>
          <w:tblLook w:val="0000"/>
        </w:tblPrEx>
        <w:tc>
          <w:tcPr>
            <w:tcW w:w="695" w:type="dxa"/>
            <w:tcBorders>
              <w:bottom w:val="double" w:sz="4" w:space="0" w:color="auto"/>
            </w:tcBorders>
          </w:tcPr>
          <w:p w:rsidR="00A52F73" w:rsidRPr="003A3E55" w:rsidP="003A3E55" w14:paraId="0EA6D4D1"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313F0714"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59FF6A19" w14:textId="77777777">
            <w:pPr>
              <w:spacing w:before="120" w:after="120"/>
              <w:rPr>
                <w:bCs/>
              </w:rPr>
            </w:pPr>
            <w:r w:rsidRPr="003A3E55">
              <w:rPr>
                <w:b/>
              </w:rPr>
              <w:t>Fecha límite para la presentación de observaciones:</w:t>
            </w:r>
            <w:r w:rsidRPr="003A3E55" w:rsidR="00AF251E">
              <w:t xml:space="preserve"> No procede</w:t>
            </w:r>
          </w:p>
          <w:p w:rsidR="005F0B7B" w:rsidRPr="000C0749" w:rsidP="005F0B7B" w14:paraId="36962723" w14:textId="77777777">
            <w:pPr>
              <w:tabs>
                <w:tab w:val="left" w:pos="1418"/>
                <w:tab w:val="left" w:pos="2127"/>
                <w:tab w:val="left" w:pos="2835"/>
                <w:tab w:val="left" w:pos="3402"/>
              </w:tabs>
              <w:spacing w:before="120" w:after="120"/>
              <w:rPr>
                <w:b/>
                <w:bCs/>
              </w:rPr>
            </w:pPr>
            <w:r w:rsidRPr="000C0749">
              <w:rPr>
                <w:b/>
              </w:rPr>
              <w:t>[ ] 60 días a partir de la fecha de notificación</w:t>
            </w:r>
            <w:r w:rsidRPr="00213FCE" w:rsidR="00213FCE">
              <w:rPr>
                <w:bCs/>
              </w:rPr>
              <w:t xml:space="preserve"> </w:t>
            </w:r>
          </w:p>
          <w:p w:rsidR="005F0B7B" w:rsidRPr="00F70F54" w:rsidP="003A3E55" w14:paraId="39682C54"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6C795859" w14:textId="77777777">
            <w:pPr>
              <w:rPr>
                <w:bCs/>
              </w:rPr>
            </w:pPr>
            <w:r>
              <w:rPr>
                <w:bCs/>
              </w:rPr>
              <w:t>Secretaría de Economía</w:t>
            </w:r>
          </w:p>
          <w:p w:rsidR="00F70F54" w:rsidP="003A3E55" w14:paraId="063F3344" w14:textId="77777777">
            <w:pPr>
              <w:rPr>
                <w:bCs/>
              </w:rPr>
            </w:pPr>
            <w:r>
              <w:rPr>
                <w:bCs/>
              </w:rPr>
              <w:t>Unidad de Normatividad, Competitividad y Competencia</w:t>
            </w:r>
          </w:p>
          <w:p w:rsidR="00F70F54" w:rsidP="003A3E55" w14:paraId="419E5E97" w14:textId="77777777">
            <w:pPr>
              <w:rPr>
                <w:bCs/>
              </w:rPr>
            </w:pPr>
            <w:r>
              <w:rPr>
                <w:bCs/>
              </w:rPr>
              <w:t>Dirección General de Normas</w:t>
            </w:r>
          </w:p>
          <w:p w:rsidR="00F70F54" w:rsidP="003A3E55" w14:paraId="739FAB1B" w14:textId="77777777">
            <w:pPr>
              <w:rPr>
                <w:bCs/>
              </w:rPr>
            </w:pPr>
            <w:r>
              <w:rPr>
                <w:bCs/>
              </w:rPr>
              <w:t>Ariel Noel Gutiérrez Contreras, Coordinador de la Infraestructura de la Calidad</w:t>
            </w:r>
          </w:p>
          <w:p w:rsidR="00F70F54" w:rsidP="003A3E55" w14:paraId="4F742C5C" w14:textId="77777777">
            <w:pPr>
              <w:rPr>
                <w:bCs/>
              </w:rPr>
            </w:pPr>
            <w:r>
              <w:rPr>
                <w:bCs/>
              </w:rPr>
              <w:t>Pachuca 189, Colonia Condesa, Cuauhtémoc Ciudad de México 06140 Tel: +(52 55) 5729 91 00; ext. 13218</w:t>
            </w:r>
          </w:p>
          <w:p w:rsidR="00F70F54" w:rsidP="003A3E55" w14:paraId="36D6A182" w14:textId="77777777">
            <w:pPr>
              <w:spacing w:after="120"/>
              <w:rPr>
                <w:bCs/>
              </w:rPr>
            </w:pPr>
            <w:r>
              <w:rPr>
                <w:bCs/>
              </w:rPr>
              <w:t xml:space="preserve">Correos electrónicos: </w:t>
            </w:r>
            <w:hyperlink r:id="rId6" w:history="1">
              <w:r>
                <w:rPr>
                  <w:bCs/>
                  <w:color w:val="0000FF"/>
                  <w:u w:val="single"/>
                </w:rPr>
                <w:t>ariel.gutierrez@economia.gob.mx</w:t>
              </w:r>
            </w:hyperlink>
            <w:r>
              <w:rPr>
                <w:bCs/>
              </w:rPr>
              <w:t xml:space="preserve"> y </w:t>
            </w:r>
            <w:hyperlink r:id="rId7" w:history="1">
              <w:r>
                <w:rPr>
                  <w:bCs/>
                  <w:color w:val="0000FF"/>
                  <w:u w:val="single"/>
                </w:rPr>
                <w:t>dgn.industriabasica@economia.gob.mx</w:t>
              </w:r>
            </w:hyperlink>
          </w:p>
        </w:tc>
      </w:tr>
    </w:tbl>
    <w:p w:rsidR="00AF251E" w:rsidRPr="003A3E55" w:rsidP="00C94F02" w14:paraId="66297832" w14:textId="77777777">
      <w:pPr>
        <w:jc w:val="center"/>
      </w:pPr>
    </w:p>
    <w:sectPr w:rsidSect="00AE3C0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4ABB631D"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622320D8"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7CC37223"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54582C79" w14:textId="77777777">
    <w:pPr>
      <w:pStyle w:val="Header"/>
      <w:pBdr>
        <w:bottom w:val="single" w:sz="4" w:space="1" w:color="auto"/>
      </w:pBdr>
      <w:tabs>
        <w:tab w:val="clear" w:pos="4513"/>
        <w:tab w:val="clear" w:pos="9027"/>
      </w:tabs>
      <w:jc w:val="center"/>
    </w:pPr>
    <w:r w:rsidRPr="003A3E55">
      <w:t>tbtSymbol</w:t>
    </w:r>
  </w:p>
  <w:p w:rsidR="00B531D9" w:rsidRPr="003A3E55" w:rsidP="00B531D9" w14:paraId="55AEF76C" w14:textId="77777777">
    <w:pPr>
      <w:pStyle w:val="Header"/>
      <w:pBdr>
        <w:bottom w:val="single" w:sz="4" w:space="1" w:color="auto"/>
      </w:pBdr>
      <w:tabs>
        <w:tab w:val="clear" w:pos="4513"/>
        <w:tab w:val="clear" w:pos="9027"/>
      </w:tabs>
      <w:jc w:val="center"/>
    </w:pPr>
  </w:p>
  <w:p w:rsidR="00B531D9" w:rsidRPr="003A3E55" w:rsidP="00B531D9" w14:paraId="3456BF6E"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7EFAA69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583B7B79" w14:textId="77777777">
    <w:pPr>
      <w:pStyle w:val="Header"/>
      <w:pBdr>
        <w:bottom w:val="single" w:sz="4" w:space="1" w:color="auto"/>
      </w:pBdr>
      <w:tabs>
        <w:tab w:val="clear" w:pos="4513"/>
        <w:tab w:val="clear" w:pos="9027"/>
      </w:tabs>
      <w:jc w:val="center"/>
    </w:pPr>
    <w:bookmarkStart w:id="0" w:name="spsSymbolHeader"/>
    <w:r w:rsidRPr="003A3E55">
      <w:t>G/TBT/N/MEX/549</w:t>
    </w:r>
    <w:bookmarkEnd w:id="0"/>
  </w:p>
  <w:p w:rsidR="00B531D9" w:rsidRPr="003A3E55" w:rsidP="00B531D9" w14:paraId="7CFCBE46" w14:textId="77777777">
    <w:pPr>
      <w:pStyle w:val="Header"/>
      <w:pBdr>
        <w:bottom w:val="single" w:sz="4" w:space="1" w:color="auto"/>
      </w:pBdr>
      <w:tabs>
        <w:tab w:val="clear" w:pos="4513"/>
        <w:tab w:val="clear" w:pos="9027"/>
      </w:tabs>
      <w:jc w:val="center"/>
    </w:pPr>
  </w:p>
  <w:p w:rsidR="00B531D9" w:rsidRPr="003A3E55" w:rsidP="00B531D9" w14:paraId="071C8429"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4</w:t>
    </w:r>
    <w:r w:rsidRPr="003A3E55">
      <w:fldChar w:fldCharType="end"/>
    </w:r>
    <w:r w:rsidRPr="003A3E55">
      <w:t xml:space="preserve"> -</w:t>
    </w:r>
  </w:p>
  <w:p w:rsidR="00DD65B2" w:rsidRPr="003A3E55" w:rsidP="00B531D9" w14:paraId="6C06CEC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A918DE2"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0FBEE135"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28D265A1" w14:textId="77777777">
          <w:pPr>
            <w:jc w:val="right"/>
            <w:rPr>
              <w:b/>
              <w:color w:val="FF0000"/>
              <w:szCs w:val="18"/>
            </w:rPr>
          </w:pPr>
        </w:p>
      </w:tc>
    </w:tr>
    <w:bookmarkEnd w:id="1"/>
    <w:tr w14:paraId="0EF4148F"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2CFCDA04"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7B4486CB" w14:textId="77777777">
          <w:pPr>
            <w:jc w:val="right"/>
            <w:rPr>
              <w:b/>
              <w:szCs w:val="18"/>
            </w:rPr>
          </w:pPr>
        </w:p>
      </w:tc>
    </w:tr>
    <w:tr w14:paraId="1D5070A4"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44C55A5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62276B68" w14:textId="77777777">
          <w:pPr>
            <w:jc w:val="right"/>
            <w:rPr>
              <w:b/>
              <w:szCs w:val="18"/>
            </w:rPr>
          </w:pPr>
          <w:bookmarkStart w:id="2" w:name="bmkSymbols"/>
          <w:r w:rsidRPr="003A3E55">
            <w:rPr>
              <w:b/>
              <w:szCs w:val="18"/>
            </w:rPr>
            <w:t>G/TBT/N/MEX/549</w:t>
          </w:r>
          <w:bookmarkEnd w:id="2"/>
        </w:p>
      </w:tc>
    </w:tr>
    <w:tr w14:paraId="408E38C3"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31FE00B9"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786E7512" w14:textId="77777777">
          <w:pPr>
            <w:jc w:val="right"/>
            <w:rPr>
              <w:szCs w:val="18"/>
            </w:rPr>
          </w:pPr>
          <w:bookmarkStart w:id="3" w:name="spsDateDistribution"/>
          <w:bookmarkStart w:id="4" w:name="bmkDate"/>
          <w:r w:rsidRPr="00674766">
            <w:rPr>
              <w:szCs w:val="18"/>
            </w:rPr>
            <w:t>31 de octubre de 2025</w:t>
          </w:r>
          <w:bookmarkEnd w:id="3"/>
          <w:bookmarkEnd w:id="4"/>
        </w:p>
      </w:tc>
    </w:tr>
    <w:tr w14:paraId="78807FAD"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2B24692F" w14:textId="77777777">
          <w:pPr>
            <w:jc w:val="left"/>
            <w:rPr>
              <w:b/>
              <w:szCs w:val="18"/>
            </w:rPr>
          </w:pPr>
          <w:bookmarkStart w:id="5" w:name="bmkSerial"/>
          <w:r>
            <w:rPr>
              <w:rFonts w:ascii="Verdana" w:eastAsia="Verdana" w:hAnsi="Verdana" w:cs="Verdana"/>
              <w:b w:val="0"/>
              <w:color w:val="FF0000"/>
              <w:sz w:val="18"/>
            </w:rPr>
            <w:t>(25-7060)</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2EE3E978"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4</w:t>
          </w:r>
          <w:r w:rsidRPr="003A3E55">
            <w:rPr>
              <w:szCs w:val="18"/>
            </w:rPr>
            <w:fldChar w:fldCharType="end"/>
          </w:r>
          <w:bookmarkEnd w:id="6"/>
        </w:p>
      </w:tc>
    </w:tr>
    <w:tr w14:paraId="14B1460A"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74AEFCF1"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782A955F"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6FD8B01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49039707">
    <w:abstractNumId w:val="8"/>
  </w:num>
  <w:num w:numId="2" w16cid:durableId="2035886153">
    <w:abstractNumId w:val="3"/>
  </w:num>
  <w:num w:numId="3" w16cid:durableId="203715555">
    <w:abstractNumId w:val="2"/>
  </w:num>
  <w:num w:numId="4" w16cid:durableId="424498071">
    <w:abstractNumId w:val="1"/>
  </w:num>
  <w:num w:numId="5" w16cid:durableId="554318754">
    <w:abstractNumId w:val="0"/>
  </w:num>
  <w:num w:numId="6" w16cid:durableId="757210325">
    <w:abstractNumId w:val="12"/>
  </w:num>
  <w:num w:numId="7" w16cid:durableId="983045913">
    <w:abstractNumId w:val="10"/>
  </w:num>
  <w:num w:numId="8" w16cid:durableId="926887057">
    <w:abstractNumId w:val="13"/>
  </w:num>
  <w:num w:numId="9" w16cid:durableId="997458918">
    <w:abstractNumId w:val="9"/>
  </w:num>
  <w:num w:numId="10" w16cid:durableId="2139298916">
    <w:abstractNumId w:val="7"/>
  </w:num>
  <w:num w:numId="11" w16cid:durableId="1735658467">
    <w:abstractNumId w:val="6"/>
  </w:num>
  <w:num w:numId="12" w16cid:durableId="1433277960">
    <w:abstractNumId w:val="5"/>
  </w:num>
  <w:num w:numId="13" w16cid:durableId="1079254851">
    <w:abstractNumId w:val="4"/>
  </w:num>
  <w:num w:numId="14" w16cid:durableId="1816027092">
    <w:abstractNumId w:val="11"/>
  </w:num>
  <w:num w:numId="15" w16cid:durableId="7837653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9206386">
    <w:abstractNumId w:val="14"/>
  </w:num>
  <w:num w:numId="17" w16cid:durableId="512494899">
    <w:abstractNumId w:val="15"/>
  </w:num>
  <w:num w:numId="18" w16cid:durableId="1227952168">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D8E"/>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5037A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97D4D"/>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31D3"/>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18527BD"/>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TBT/MEX/25_07358_00_s.pdf" TargetMode="External" /><Relationship Id="rId5" Type="http://schemas.openxmlformats.org/officeDocument/2006/relationships/hyperlink" Target="https://www.dof.gob.mx/nota_detalle.php?codigo=5769160&amp;fecha=03/10/2025" TargetMode="External" /><Relationship Id="rId6" Type="http://schemas.openxmlformats.org/officeDocument/2006/relationships/hyperlink" Target="mailto:ariel.gutierrez@economia.gob.mx" TargetMode="External" /><Relationship Id="rId7" Type="http://schemas.openxmlformats.org/officeDocument/2006/relationships/hyperlink" Target="mailto:dgn.industriabasica@economia.gob.mx"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1622</Words>
  <Characters>9251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10852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Greenleaves, Jane</cp:lastModifiedBy>
  <cp:revision>2</cp:revision>
  <dcterms:created xsi:type="dcterms:W3CDTF">2025-10-31T13:42:00Z</dcterms:created>
  <dcterms:modified xsi:type="dcterms:W3CDTF">2025-10-31T13:42:00Z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NC</vt:lpwstr>
  </property>
</Properties>
</file>