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A775BC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07FEE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CB1DE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C98EE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4687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0BE838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7C99D0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0283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066F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BEF53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63D1A2" w14:textId="77777777">
            <w:r w:rsidRPr="00C379C8">
              <w:t>Pharmacy and Poisons Board (PPB)</w:t>
            </w:r>
          </w:p>
          <w:p w:rsidR="00EE3A11" w:rsidRPr="00C379C8" w:rsidP="000C3B6C" w14:paraId="7B6E1627" w14:textId="77777777">
            <w:r w:rsidRPr="00C379C8">
              <w:t>Pharmacy &amp; Poisons Board Hse</w:t>
            </w:r>
          </w:p>
          <w:p w:rsidR="00EE3A11" w:rsidRPr="00C379C8" w:rsidP="000C3B6C" w14:paraId="4954E25C" w14:textId="77777777">
            <w:r w:rsidRPr="00C379C8">
              <w:t>Lenana Road</w:t>
            </w:r>
          </w:p>
          <w:p w:rsidR="00EE3A11" w:rsidRPr="00C379C8" w:rsidP="000C3B6C" w14:paraId="587CB791" w14:textId="77777777">
            <w:r w:rsidRPr="00C379C8">
              <w:t>P.O. Box 27663-00506</w:t>
            </w:r>
          </w:p>
          <w:p w:rsidR="00EE3A11" w:rsidRPr="00C379C8" w:rsidP="000C3B6C" w14:paraId="439B0ED7" w14:textId="77777777">
            <w:r w:rsidRPr="00C379C8">
              <w:t>NAIROBI.</w:t>
            </w:r>
          </w:p>
          <w:p w:rsidR="00EE3A11" w:rsidRPr="00C379C8" w:rsidP="000C3B6C" w14:paraId="2E952DCA" w14:textId="77777777">
            <w:r w:rsidRPr="00C379C8">
              <w:t>Telephone: 0709770100</w:t>
            </w:r>
          </w:p>
          <w:p w:rsidR="00EE3A11" w:rsidRPr="00C379C8" w:rsidP="000C3B6C" w14:paraId="2C0A768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info@ppb.go.ke</w:t>
              </w:r>
            </w:hyperlink>
            <w:r w:rsidRPr="00C379C8">
              <w:t xml:space="preserve">; </w:t>
            </w:r>
            <w:hyperlink r:id="rId7" w:history="1">
              <w:r w:rsidRPr="00C379C8">
                <w:rPr>
                  <w:color w:val="0000FF"/>
                  <w:u w:val="single"/>
                </w:rPr>
                <w:t>tradeaffairs@ppb.go.ke</w:t>
              </w:r>
            </w:hyperlink>
          </w:p>
          <w:p w:rsidR="00EE3A11" w:rsidRPr="00C379C8" w:rsidP="000C3B6C" w14:paraId="2870D75B" w14:textId="77777777">
            <w:pPr>
              <w:spacing w:after="120"/>
            </w:pPr>
            <w:r w:rsidRPr="00C379C8">
              <w:t xml:space="preserve">Website: </w:t>
            </w:r>
            <w:hyperlink r:id="rId8" w:history="1">
              <w:r w:rsidRPr="00720983">
                <w:rPr>
                  <w:rStyle w:val="Hyperlink"/>
                </w:rPr>
                <w:t>www.pharmacyboardkenya.org</w:t>
              </w:r>
            </w:hyperlink>
            <w:r>
              <w:t xml:space="preserve"> </w:t>
            </w:r>
          </w:p>
        </w:tc>
      </w:tr>
      <w:tr w14:paraId="01E51A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6DE8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E6C0AB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888E9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46D2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0FD17D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Pharmaceutical preparations and products of subheadings 3006.10.10 to 3006.93.00 (HS code(s): 3006); Pharmaceutics (ICS code(s): 11.120)</w:t>
            </w:r>
          </w:p>
        </w:tc>
      </w:tr>
      <w:tr w14:paraId="34AF04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82F9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6B8B2A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Authentication and Traceability Standard (A&amp;T) of Health Products and Technologies (HPTs), Version 0, 2025; (46 page(s), in English)</w:t>
            </w:r>
          </w:p>
          <w:p w:rsidR="000C3B6C" w:rsidRPr="000C3B6C" w:rsidP="002F6A28" w14:paraId="66AABE4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00268" w:rsidRPr="00CE6C29" w:rsidP="002F6A28" w14:paraId="3F52B58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https://members.wto.org/crnattachments/2025/TBT/KEN/25_07262_00_e.pdf</w:t>
              </w:r>
            </w:hyperlink>
          </w:p>
          <w:p w:rsidR="00100268" w:rsidRPr="00CE6C29" w:rsidP="002F6A28" w14:paraId="630B196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Text - </w:t>
            </w: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https://web.pharmacyboardkenya.org/download/standards-for-authentication-and-traceability-of-health-products-and-technologies/</w:t>
              </w:r>
            </w:hyperlink>
          </w:p>
          <w:p w:rsidR="00100268" w:rsidRPr="00DB4E9A" w:rsidP="002F6A28" w14:paraId="3BD9FC40" w14:textId="77777777">
            <w:pPr>
              <w:spacing w:after="120"/>
              <w:rPr>
                <w:iCs/>
                <w:lang w:val="fr-CH"/>
              </w:rPr>
            </w:pPr>
            <w:r w:rsidRPr="00DB4E9A">
              <w:rPr>
                <w:iCs/>
                <w:lang w:val="fr-CH"/>
              </w:rPr>
              <w:t xml:space="preserve">Comments Template - </w:t>
            </w:r>
            <w:hyperlink r:id="rId11" w:tgtFrame="_blank" w:history="1">
              <w:r w:rsidRPr="00DB4E9A">
                <w:rPr>
                  <w:iCs/>
                  <w:color w:val="0000FF"/>
                  <w:u w:val="single"/>
                  <w:lang w:val="fr-CH"/>
                </w:rPr>
                <w:t>https://web.pharmacyboardkenya.org/download/track-and-trace-standards-stakeholder-comments-template/</w:t>
              </w:r>
            </w:hyperlink>
          </w:p>
        </w:tc>
      </w:tr>
      <w:tr w14:paraId="0C1BD6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583F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90D9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provides a comprehensive framework for the implementation of </w:t>
            </w:r>
            <w:r w:rsidRPr="00C379C8" w:rsidR="00FE448B">
              <w:rPr>
                <w:i/>
                <w:iCs/>
              </w:rPr>
              <w:t>Authentication and Traceability (A&amp;T) standards</w:t>
            </w:r>
            <w:r w:rsidRPr="00C379C8" w:rsidR="00FE448B">
              <w:t xml:space="preserve"> for Health Products and Technologies (HPTs) in Kenya. It aims to safeguard </w:t>
            </w:r>
            <w:r w:rsidRPr="00C379C8" w:rsidR="00FE448B">
              <w:rPr>
                <w:i/>
                <w:iCs/>
              </w:rPr>
              <w:t>patient safety</w:t>
            </w:r>
            <w:r w:rsidRPr="00C379C8" w:rsidR="00FE448B">
              <w:t xml:space="preserve">, ensure </w:t>
            </w:r>
            <w:r w:rsidRPr="00C379C8" w:rsidR="00FE448B">
              <w:rPr>
                <w:i/>
                <w:iCs/>
              </w:rPr>
              <w:t>product integrity</w:t>
            </w:r>
            <w:r w:rsidRPr="00C379C8" w:rsidR="00FE448B">
              <w:t xml:space="preserve">, and secure the </w:t>
            </w:r>
            <w:r w:rsidRPr="00C379C8" w:rsidR="00FE448B">
              <w:rPr>
                <w:i/>
                <w:iCs/>
              </w:rPr>
              <w:t>medical supply chain</w:t>
            </w:r>
            <w:r w:rsidRPr="00C379C8" w:rsidR="00FE448B">
              <w:t xml:space="preserve"> from falsified and substandard products.</w:t>
            </w:r>
          </w:p>
          <w:p w:rsidR="00FE448B" w:rsidRPr="00C379C8" w:rsidP="002F6A28" w14:paraId="14FB69F0" w14:textId="77777777">
            <w:pPr>
              <w:spacing w:before="120" w:after="120"/>
            </w:pPr>
            <w:r w:rsidRPr="00C379C8">
              <w:t xml:space="preserve">The standard applies to all </w:t>
            </w:r>
            <w:r w:rsidRPr="00C379C8">
              <w:rPr>
                <w:i/>
                <w:iCs/>
              </w:rPr>
              <w:t>stakeholders involved in the supply chain</w:t>
            </w:r>
            <w:r w:rsidRPr="00C379C8">
              <w:t xml:space="preserve"> of regulated medical products—from </w:t>
            </w:r>
            <w:r w:rsidRPr="00C379C8">
              <w:rPr>
                <w:i/>
                <w:iCs/>
              </w:rPr>
              <w:t>manufacturers to pharmacists</w:t>
            </w:r>
            <w:r w:rsidRPr="00C379C8">
              <w:t xml:space="preserve">—including importers, distributors, wholesalers, healthcare providers, and A&amp;T service providers. It covers </w:t>
            </w:r>
            <w:r w:rsidRPr="00C379C8">
              <w:rPr>
                <w:i/>
                <w:iCs/>
              </w:rPr>
              <w:t>therapeutic and non-therapeutic</w:t>
            </w:r>
            <w:r w:rsidRPr="00C379C8">
              <w:t xml:space="preserve"> products, such as: Oral and non-oral medications, Herbal medicines, Medical devices and diagnostics, Cosmetic products with medical claims.</w:t>
            </w:r>
          </w:p>
        </w:tc>
      </w:tr>
      <w:tr w14:paraId="1A339C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0012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D8BF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2E37B6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02CD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B81D5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F6BD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Global Standards Organization (GS1)</w:t>
            </w:r>
          </w:p>
          <w:p w:rsidR="00EE3A11" w:rsidRPr="002F6A28" w:rsidP="007F13E8" w14:paraId="2AE024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23023 (track and trace for medical devices)</w:t>
            </w:r>
          </w:p>
          <w:p w:rsidR="00EE3A11" w:rsidRPr="002F6A28" w:rsidP="007F13E8" w14:paraId="73DF7D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17971 (risk management for medical devices)</w:t>
            </w:r>
          </w:p>
          <w:p w:rsidR="00EE3A11" w:rsidRPr="002F6A28" w:rsidP="007F13E8" w14:paraId="5FEF59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Policy paper on traceability of medical products. Geneva: World Health Organization; 2021. Licence: CC BY-NC-SA 3.0 IGO</w:t>
            </w:r>
          </w:p>
          <w:p w:rsidR="00EE3A11" w:rsidRPr="002F6A28" w:rsidP="00DB4E9A" w14:paraId="7C5A79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5. EU. - DIRECTIVE 2011/62/EU OF THE EUROPEAN PARLIAMENT AND OF THE COUNCIL of 8 June 2011 amending Directive 2001/83/EC on the Community code relating to medicinal products for human use</w:t>
            </w:r>
          </w:p>
          <w:p w:rsidR="00EE3A11" w:rsidRPr="002F6A28" w:rsidP="00DB4E9A" w14:paraId="35E85C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6. U.S. - Drug Quality and Security Act. 21 USC 301 - Public Law 113–54</w:t>
            </w:r>
          </w:p>
        </w:tc>
      </w:tr>
      <w:tr w14:paraId="11229A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4E32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FFFF0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May 2026</w:t>
            </w:r>
          </w:p>
          <w:p w:rsidR="00EE3A11" w:rsidRPr="002F6A28" w:rsidP="008953C4" w14:paraId="3BE667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6462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893D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70DFA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E4CA5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December 2025</w:t>
            </w:r>
          </w:p>
          <w:p w:rsidR="000C3B6C" w:rsidRPr="00E3324D" w:rsidP="000C3B6C" w14:paraId="7D84556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8CCE76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7D6EB15" w14:textId="77777777">
            <w:r w:rsidRPr="00CE6C29">
              <w:t>Kenya Bureau of Standards (KEBS)</w:t>
            </w:r>
          </w:p>
          <w:p w:rsidR="00CE6C29" w:rsidRPr="00CE6C29" w:rsidP="000C3B6C" w14:paraId="1B055E19" w14:textId="77777777">
            <w:r w:rsidRPr="00CE6C29">
              <w:t>KEBS Centre</w:t>
            </w:r>
          </w:p>
          <w:p w:rsidR="00CE6C29" w:rsidRPr="00CE6C29" w:rsidP="000C3B6C" w14:paraId="37F793EA" w14:textId="77777777">
            <w:r w:rsidRPr="00CE6C29">
              <w:t>Contact Person: Managing Director</w:t>
            </w:r>
          </w:p>
          <w:p w:rsidR="00CE6C29" w:rsidRPr="00CE6C29" w:rsidP="000C3B6C" w14:paraId="2FF23FA4" w14:textId="77777777">
            <w:r w:rsidRPr="00CE6C29">
              <w:t>Popo Road, off Mombasa Road, Behind Bellevue Cinema</w:t>
            </w:r>
          </w:p>
          <w:p w:rsidR="00CE6C29" w:rsidRPr="00DB4E9A" w:rsidP="000C3B6C" w14:paraId="7B8042ED" w14:textId="77777777">
            <w:pPr>
              <w:rPr>
                <w:lang w:val="fr-CH"/>
              </w:rPr>
            </w:pPr>
            <w:r w:rsidRPr="00DB4E9A">
              <w:rPr>
                <w:lang w:val="fr-CH"/>
              </w:rPr>
              <w:t>P.O. Box 54974</w:t>
            </w:r>
          </w:p>
          <w:p w:rsidR="00CE6C29" w:rsidRPr="00DB4E9A" w:rsidP="000C3B6C" w14:paraId="029481D3" w14:textId="77777777">
            <w:pPr>
              <w:rPr>
                <w:lang w:val="fr-CH"/>
              </w:rPr>
            </w:pPr>
            <w:r w:rsidRPr="00DB4E9A">
              <w:rPr>
                <w:lang w:val="fr-CH"/>
              </w:rPr>
              <w:t>Nairobi 00200</w:t>
            </w:r>
          </w:p>
          <w:p w:rsidR="00CE6C29" w:rsidRPr="00DB4E9A" w:rsidP="000C3B6C" w14:paraId="16453BB8" w14:textId="77777777">
            <w:pPr>
              <w:rPr>
                <w:lang w:val="fr-CH"/>
              </w:rPr>
            </w:pPr>
            <w:r w:rsidRPr="00DB4E9A">
              <w:rPr>
                <w:lang w:val="fr-CH"/>
              </w:rPr>
              <w:t>Tel: +(254) 722 202137; +(254) 724 255242</w:t>
            </w:r>
          </w:p>
          <w:p w:rsidR="00CE6C29" w:rsidRPr="00DB4E9A" w:rsidP="000C3B6C" w14:paraId="7910C0EF" w14:textId="77777777">
            <w:pPr>
              <w:rPr>
                <w:lang w:val="fr-CH"/>
              </w:rPr>
            </w:pPr>
            <w:r w:rsidRPr="00DB4E9A">
              <w:rPr>
                <w:lang w:val="fr-CH"/>
              </w:rPr>
              <w:t>Fax: +(254) 20 609660; +(254) 20 604031</w:t>
            </w:r>
          </w:p>
          <w:p w:rsidR="00CE6C29" w:rsidRPr="00DB4E9A" w:rsidP="000C3B6C" w14:paraId="12C67F6C" w14:textId="77777777">
            <w:pPr>
              <w:rPr>
                <w:lang w:val="fr-CH"/>
              </w:rPr>
            </w:pPr>
            <w:r w:rsidRPr="00DB4E9A">
              <w:rPr>
                <w:lang w:val="fr-CH"/>
              </w:rPr>
              <w:t xml:space="preserve">Email: </w:t>
            </w:r>
            <w:hyperlink r:id="rId12" w:history="1">
              <w:r w:rsidRPr="00DB4E9A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DB4E9A" w:rsidP="000C3B6C" w14:paraId="6413099B" w14:textId="77777777">
            <w:pPr>
              <w:spacing w:after="120"/>
              <w:rPr>
                <w:lang w:val="fr-CH"/>
              </w:rPr>
            </w:pPr>
            <w:r w:rsidRPr="00DB4E9A">
              <w:rPr>
                <w:lang w:val="fr-CH"/>
              </w:rPr>
              <w:t xml:space="preserve">Website: </w:t>
            </w:r>
            <w:hyperlink r:id="rId13" w:tgtFrame="_blank" w:history="1">
              <w:r w:rsidRPr="00DB4E9A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DB4E9A" w:rsidP="00887259" w14:paraId="2B12E917" w14:textId="77777777">
      <w:pPr>
        <w:jc w:val="center"/>
        <w:rPr>
          <w:lang w:val="fr-CH"/>
        </w:rPr>
      </w:pPr>
    </w:p>
    <w:sectPr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BF5E4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61502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DE9F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4F46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4DDC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1D75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942C9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91A1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G/TBT/N/KEN/1922</w:t>
    </w:r>
    <w:bookmarkEnd w:id="0"/>
  </w:p>
  <w:p w:rsidR="009239F7" w:rsidRPr="002F6A28" w:rsidP="009239F7" w14:paraId="76EBD0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A23E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E49BD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4142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93AD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740DC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1057C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5A476A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685EF9" w14:textId="77777777">
          <w:pPr>
            <w:jc w:val="right"/>
            <w:rPr>
              <w:b/>
              <w:szCs w:val="16"/>
            </w:rPr>
          </w:pPr>
        </w:p>
      </w:tc>
    </w:tr>
    <w:tr w14:paraId="09B3411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04B8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22111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G/TBT/N/KEN/1922</w:t>
          </w:r>
          <w:bookmarkEnd w:id="2"/>
        </w:p>
      </w:tc>
    </w:tr>
    <w:tr w14:paraId="73815DD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D5656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A0DE6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October 2025</w:t>
          </w:r>
          <w:bookmarkEnd w:id="3"/>
          <w:bookmarkEnd w:id="4"/>
        </w:p>
      </w:tc>
    </w:tr>
    <w:tr w14:paraId="2207A2E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4FA49C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(25-7010)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ECA87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FF98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01C20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7C4F6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786B4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11230">
    <w:abstractNumId w:val="9"/>
  </w:num>
  <w:num w:numId="2" w16cid:durableId="102921393">
    <w:abstractNumId w:val="7"/>
  </w:num>
  <w:num w:numId="3" w16cid:durableId="207104867">
    <w:abstractNumId w:val="6"/>
  </w:num>
  <w:num w:numId="4" w16cid:durableId="1580208743">
    <w:abstractNumId w:val="5"/>
  </w:num>
  <w:num w:numId="5" w16cid:durableId="287471080">
    <w:abstractNumId w:val="4"/>
  </w:num>
  <w:num w:numId="6" w16cid:durableId="284116602">
    <w:abstractNumId w:val="12"/>
  </w:num>
  <w:num w:numId="7" w16cid:durableId="1196503141">
    <w:abstractNumId w:val="11"/>
  </w:num>
  <w:num w:numId="8" w16cid:durableId="1110513200">
    <w:abstractNumId w:val="10"/>
  </w:num>
  <w:num w:numId="9" w16cid:durableId="19138489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5612493">
    <w:abstractNumId w:val="13"/>
  </w:num>
  <w:num w:numId="11" w16cid:durableId="1435399547">
    <w:abstractNumId w:val="8"/>
  </w:num>
  <w:num w:numId="12" w16cid:durableId="946156718">
    <w:abstractNumId w:val="3"/>
  </w:num>
  <w:num w:numId="13" w16cid:durableId="1593859668">
    <w:abstractNumId w:val="2"/>
  </w:num>
  <w:num w:numId="14" w16cid:durableId="911695814">
    <w:abstractNumId w:val="1"/>
  </w:num>
  <w:num w:numId="15" w16cid:durableId="1858694690">
    <w:abstractNumId w:val="0"/>
  </w:num>
  <w:num w:numId="16" w16cid:durableId="15934692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00268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30DCE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0983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1795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57C97"/>
    <w:rsid w:val="00C65C0C"/>
    <w:rsid w:val="00C723C8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579F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4E9A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E1081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B4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eb.pharmacyboardkenya.org/download/standards-for-authentication-and-traceability-of-health-products-and-technologies/" TargetMode="External" /><Relationship Id="rId11" Type="http://schemas.openxmlformats.org/officeDocument/2006/relationships/hyperlink" Target="https://web.pharmacyboardkenya.org/download/track-and-trace-standards-stakeholder-comments-template/" TargetMode="External" /><Relationship Id="rId12" Type="http://schemas.openxmlformats.org/officeDocument/2006/relationships/hyperlink" Target="mailto:info@kebs.org" TargetMode="External" /><Relationship Id="rId13" Type="http://schemas.openxmlformats.org/officeDocument/2006/relationships/hyperlink" Target="https://www.kebs.org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ppb.go.ke" TargetMode="External" /><Relationship Id="rId7" Type="http://schemas.openxmlformats.org/officeDocument/2006/relationships/hyperlink" Target="mailto:tradeaffairs@ppb.go.ke" TargetMode="External" /><Relationship Id="rId8" Type="http://schemas.openxmlformats.org/officeDocument/2006/relationships/hyperlink" Target="http://www.pharmacyboardkenya.org" TargetMode="External" /><Relationship Id="rId9" Type="http://schemas.openxmlformats.org/officeDocument/2006/relationships/hyperlink" Target="https://members.wto.org/crnattachments/2025/TBT/KEN/25_0726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CEE63C-DA69-4EE4-AF35-3B288AFD43D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2025-10-30T09:19:00Z</dcterms:created>
  <dcterms:modified xsi:type="dcterms:W3CDTF">2025-10-30T09:26:00Z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