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BAC05D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169C12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124F00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566F3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1183E9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A25F3B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TÜRKIYE</w:t>
            </w:r>
          </w:p>
          <w:p w:rsidR="00F85C99" w:rsidRPr="002F6A28" w:rsidP="002F6A28" w14:paraId="7D0434B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081B0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9A1B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830F32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8EE1B20" w14:textId="77777777">
            <w:r w:rsidRPr="00C379C8">
              <w:t>Ministry of Industry and Technology</w:t>
            </w:r>
          </w:p>
          <w:p w:rsidR="00EE3A11" w:rsidRPr="00C379C8" w:rsidP="000C3B6C" w14:paraId="61939EA6" w14:textId="77777777">
            <w:r w:rsidRPr="00C379C8">
              <w:t>DG for EU and Foreign Affairs</w:t>
            </w:r>
          </w:p>
          <w:p w:rsidR="00EE3A11" w:rsidRPr="00214C61" w:rsidP="000C3B6C" w14:paraId="773A223D" w14:textId="77777777">
            <w:pPr>
              <w:rPr>
                <w:lang w:val="es-ES"/>
              </w:rPr>
            </w:pPr>
            <w:r w:rsidRPr="00C379C8">
              <w:t xml:space="preserve">Mustafa Kemal Mah. </w:t>
            </w:r>
            <w:r w:rsidRPr="00C379C8">
              <w:t>Dumlupinar</w:t>
            </w:r>
            <w:r w:rsidRPr="00C379C8">
              <w:t xml:space="preserve"> </w:t>
            </w:r>
            <w:r w:rsidRPr="00C379C8">
              <w:t>Bulvari</w:t>
            </w:r>
            <w:r w:rsidRPr="00C379C8">
              <w:t xml:space="preserve"> Eskişehir </w:t>
            </w:r>
            <w:r w:rsidRPr="00C379C8">
              <w:t>Yolu</w:t>
            </w:r>
            <w:r w:rsidRPr="00C379C8">
              <w:t xml:space="preserve"> 2151. </w:t>
            </w:r>
            <w:r w:rsidRPr="00214C61">
              <w:rPr>
                <w:lang w:val="es-ES"/>
              </w:rPr>
              <w:t>Cad. No:154 Cankaya - Ankara/ Türkiye</w:t>
            </w:r>
          </w:p>
          <w:p w:rsidR="00EE3A11" w:rsidRPr="00214C61" w:rsidP="000C3B6C" w14:paraId="0C40797F" w14:textId="77777777">
            <w:pPr>
              <w:spacing w:after="120"/>
              <w:rPr>
                <w:lang w:val="es-ES"/>
              </w:rPr>
            </w:pPr>
            <w:r w:rsidRPr="00214C61">
              <w:rPr>
                <w:lang w:val="es-ES"/>
              </w:rPr>
              <w:t xml:space="preserve">E-mail: </w:t>
            </w:r>
            <w:hyperlink r:id="rId6" w:history="1">
              <w:r w:rsidRPr="00214C61">
                <w:rPr>
                  <w:color w:val="0000FF"/>
                  <w:u w:val="single"/>
                  <w:lang w:val="es-ES"/>
                </w:rPr>
                <w:t>sumeyye.sabanci@sanayi.gov.tr</w:t>
              </w:r>
            </w:hyperlink>
          </w:p>
        </w:tc>
      </w:tr>
      <w:tr w14:paraId="1DB4D5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4A49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EFBD20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CE7D6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5DEEE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7A3AB1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</w:t>
            </w:r>
            <w:r w:rsidRPr="00C379C8" w:rsidR="00EE3A11">
              <w:t>Ecodesign</w:t>
            </w:r>
            <w:r w:rsidRPr="00C379C8" w:rsidR="00EE3A11">
              <w:t xml:space="preserve"> requirements for fans driven by motors with an electric input power between 125 W and 500 kW.</w:t>
            </w:r>
          </w:p>
        </w:tc>
      </w:tr>
      <w:tr w14:paraId="2B8E66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16B5E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34D20C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Communiqué (2024/1834/EU) (SGM-2025/..) On </w:t>
            </w:r>
            <w:r w:rsidRPr="00C379C8" w:rsidR="00EE3A11">
              <w:t>Ecodesign</w:t>
            </w:r>
            <w:r w:rsidRPr="00C379C8" w:rsidR="00EE3A11">
              <w:t xml:space="preserve"> Requirements For Fans Driven By Motors With An Electric Input Power Between 125 W and 500 kW; (18 page(s), in English)</w:t>
            </w:r>
          </w:p>
          <w:p w:rsidR="000C3B6C" w:rsidRPr="000C3B6C" w:rsidP="002F6A28" w14:paraId="70EF658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0434E" w:rsidRPr="00CE6C29" w:rsidP="002F6A28" w14:paraId="2B16FA5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https://members.wto.org/crnattachments/2025/TBT/TUR/25_06841_00_e.pdf</w:t>
              </w:r>
            </w:hyperlink>
          </w:p>
        </w:tc>
      </w:tr>
      <w:tr w14:paraId="39A81A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F830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C6F60D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Communiqué covers fans driven by motors with electrical input power between 125 W and 500 kW, including those integrated with other energy-related products specified in the Regulation on Eco-Design of Energy-Related Products</w:t>
            </w:r>
          </w:p>
          <w:p w:rsidR="00FE448B" w:rsidRPr="00C379C8" w:rsidP="002F6A28" w14:paraId="77E300B4" w14:textId="77777777">
            <w:pPr>
              <w:spacing w:before="120" w:after="120"/>
            </w:pPr>
            <w:r w:rsidRPr="00C379C8">
              <w:t>This Communiqué shall not apply to:</w:t>
            </w:r>
          </w:p>
          <w:p w:rsidR="00FE448B" w:rsidRPr="00C379C8" w:rsidP="002F6A28" w14:paraId="5A9EE91B" w14:textId="77777777">
            <w:pPr>
              <w:spacing w:before="120" w:after="120"/>
            </w:pPr>
            <w:r w:rsidRPr="00C379C8">
              <w:t>(a) fan impellers mounted on the shaft of electric motors with the sole purpose of cooling the motor itself;</w:t>
            </w:r>
          </w:p>
          <w:p w:rsidR="00FE448B" w:rsidRPr="00C379C8" w:rsidP="002F6A28" w14:paraId="1D61AA6B" w14:textId="77777777">
            <w:pPr>
              <w:spacing w:before="120" w:after="120"/>
            </w:pPr>
            <w:r w:rsidRPr="00C379C8">
              <w:t>(b) fans integrated into laundry and washer-dryers with maximum electric input power lower than or equal to 3 kW;</w:t>
            </w:r>
          </w:p>
          <w:p w:rsidR="00FE448B" w:rsidRPr="00C379C8" w:rsidP="002F6A28" w14:paraId="46D39D24" w14:textId="77777777">
            <w:pPr>
              <w:spacing w:before="120" w:after="120"/>
            </w:pPr>
            <w:r w:rsidRPr="00C379C8">
              <w:t>(c) fans integrated into kitchen hoods with total maximum electric input power attributable to the fan(s) lower than 280 W;</w:t>
            </w:r>
          </w:p>
          <w:p w:rsidR="00FE448B" w:rsidRPr="00C379C8" w:rsidP="002F6A28" w14:paraId="3F4058DA" w14:textId="77777777">
            <w:pPr>
              <w:spacing w:before="120" w:after="120"/>
            </w:pPr>
            <w:r w:rsidRPr="00C379C8">
              <w:t>(d) fans with a best energy efficiency point at 8 000revolutions per minute or more;</w:t>
            </w:r>
          </w:p>
          <w:p w:rsidR="00FE448B" w:rsidRPr="00C379C8" w:rsidP="002F6A28" w14:paraId="229D76D1" w14:textId="77777777">
            <w:pPr>
              <w:spacing w:before="120" w:after="120"/>
            </w:pPr>
            <w:r w:rsidRPr="00C379C8">
              <w:t>(e) jet fans with maximum electric input power lower than 750 W;</w:t>
            </w:r>
          </w:p>
          <w:p w:rsidR="00FE448B" w:rsidRPr="00C379C8" w:rsidP="002F6A28" w14:paraId="0DE3FEAE" w14:textId="77777777">
            <w:pPr>
              <w:spacing w:before="120" w:after="120"/>
            </w:pPr>
            <w:r w:rsidRPr="00C379C8">
              <w:t>3. This Communiqué shall not apply to fans that are specified to operate exclusively as follows and are specifically designed and marketed as such:</w:t>
            </w:r>
          </w:p>
          <w:p w:rsidR="00FE448B" w:rsidRPr="00C379C8" w:rsidP="002F6A28" w14:paraId="7EAE0903" w14:textId="77777777">
            <w:pPr>
              <w:spacing w:before="120" w:after="120"/>
            </w:pPr>
            <w:r w:rsidRPr="00C379C8">
              <w:t>(a) in potentially explosive atmospheres, as defined in the Regulation on Equipment and Protective Systems Used in Potentially Explosive Atmosphere (2014/34/EU) published in the Official Gazette dated 30/6/2016 and numbered 29758</w:t>
            </w:r>
          </w:p>
          <w:p w:rsidR="00FE448B" w:rsidRPr="00C379C8" w:rsidP="002F6A28" w14:paraId="759CB3F2" w14:textId="77777777">
            <w:pPr>
              <w:spacing w:before="120" w:after="120"/>
            </w:pPr>
            <w:r w:rsidRPr="00C379C8">
              <w:t>(b) for emergency use only, with regard to fire safety requirements as set out in the Construction Materials Regulation (305/2011/EU) published in the Official Gazette dated 10/7/2013 and numbered 28703, capable of short-time duty operation of 1 hour or more at temperatures of 300 °C and above;</w:t>
            </w:r>
          </w:p>
          <w:p w:rsidR="00FE448B" w:rsidRPr="00C379C8" w:rsidP="002F6A28" w14:paraId="17B02E7F" w14:textId="77777777">
            <w:pPr>
              <w:spacing w:before="120" w:after="120"/>
            </w:pPr>
            <w:r w:rsidRPr="00C379C8">
              <w:t>(c) in nuclear installations; as defined in Regulation on Safety of Nuclear Facilities and Nuclear Materials</w:t>
            </w:r>
          </w:p>
          <w:p w:rsidR="00FE448B" w:rsidRPr="00C379C8" w:rsidP="002F6A28" w14:paraId="5CF4810C" w14:textId="77777777">
            <w:pPr>
              <w:spacing w:before="120" w:after="120"/>
            </w:pPr>
            <w:r w:rsidRPr="00C379C8">
              <w:t>(d) in military establishments (bunkers) and civil defence establishments (bomb shelters);</w:t>
            </w:r>
          </w:p>
          <w:p w:rsidR="00FE448B" w:rsidRPr="00C379C8" w:rsidP="002F6A28" w14:paraId="2B078B11" w14:textId="77777777">
            <w:pPr>
              <w:spacing w:before="120" w:after="120"/>
            </w:pPr>
            <w:r w:rsidRPr="00C379C8">
              <w:t>(e) where operating temperatures of the gas being moved can be higher than 100 °C, or lower than – 40 °C, or both;</w:t>
            </w:r>
          </w:p>
          <w:p w:rsidR="00FE448B" w:rsidRPr="00C379C8" w:rsidP="002F6A28" w14:paraId="5B6EDF9E" w14:textId="77777777">
            <w:pPr>
              <w:spacing w:before="120" w:after="120"/>
            </w:pPr>
            <w:r w:rsidRPr="00C379C8">
              <w:t>(f) where operating ambient air temperatures for the motor driving the fan, if located outside the gas stream, can be higher than 60 °C, or lower than – 30 °C, or both;</w:t>
            </w:r>
          </w:p>
          <w:p w:rsidR="00FE448B" w:rsidRPr="00C379C8" w:rsidP="002F6A28" w14:paraId="4785A570" w14:textId="77777777">
            <w:pPr>
              <w:spacing w:before="120" w:after="120"/>
            </w:pPr>
            <w:r w:rsidRPr="00C379C8">
              <w:t>(g) with a supply voltage higher than 1 000V AC or higher than 1 500V DC;</w:t>
            </w:r>
          </w:p>
          <w:p w:rsidR="00FE448B" w:rsidRPr="00C379C8" w:rsidP="002F6A28" w14:paraId="6D2888E2" w14:textId="77777777">
            <w:pPr>
              <w:spacing w:before="120" w:after="120"/>
            </w:pPr>
            <w:r w:rsidRPr="00C379C8">
              <w:t xml:space="preserve">(h) for handling toxic, highly corrosive or flammable gases or </w:t>
            </w:r>
            <w:r w:rsidRPr="00C379C8">
              <w:t>vapours;as</w:t>
            </w:r>
            <w:r w:rsidRPr="00C379C8">
              <w:t xml:space="preserve"> defined in Regulation on Classification, </w:t>
            </w:r>
            <w:r w:rsidRPr="00C379C8">
              <w:t>Labeling</w:t>
            </w:r>
            <w:r w:rsidRPr="00C379C8">
              <w:t>, and Packaging of Substances and Mixtures</w:t>
            </w:r>
          </w:p>
          <w:p w:rsidR="00FE448B" w:rsidRPr="00C379C8" w:rsidP="002F6A28" w14:paraId="47184614" w14:textId="77777777">
            <w:pPr>
              <w:spacing w:before="120" w:after="120"/>
            </w:pPr>
            <w:r w:rsidRPr="00C379C8">
              <w:t>(</w:t>
            </w:r>
            <w:r w:rsidRPr="00C379C8">
              <w:t>i</w:t>
            </w:r>
            <w:r w:rsidRPr="00C379C8">
              <w:t>) for material transport, characterised by handling substances with a solid particle concentration of more than 10 mg/ m3 and particles with an average size of at least 0,1 mm and a hardness of at least 2 on the Mohs scale, while having an average blade angle of 50° to 90°;</w:t>
            </w:r>
          </w:p>
          <w:p w:rsidR="00FE448B" w:rsidRPr="00C379C8" w:rsidP="002F6A28" w14:paraId="09455066" w14:textId="77777777">
            <w:pPr>
              <w:spacing w:before="120" w:after="120"/>
            </w:pPr>
            <w:r w:rsidRPr="00C379C8">
              <w:t>(j) for handling gases containing biohazardous substances;</w:t>
            </w:r>
          </w:p>
          <w:p w:rsidR="00FE448B" w:rsidRPr="00C379C8" w:rsidP="002F6A28" w14:paraId="432A1872" w14:textId="77777777">
            <w:pPr>
              <w:spacing w:before="120" w:after="120"/>
            </w:pPr>
            <w:r w:rsidRPr="00C379C8">
              <w:t>(k) for handling gases containing carcinogens or mutagens; as defined in Regulation on Health and Safety Measures in Work with Carcinogenic or Mutagenic Substances</w:t>
            </w:r>
          </w:p>
          <w:p w:rsidR="00FE448B" w:rsidRPr="00C379C8" w:rsidP="002F6A28" w14:paraId="40F89A84" w14:textId="77777777">
            <w:pPr>
              <w:spacing w:before="120" w:after="120"/>
            </w:pPr>
            <w:r w:rsidRPr="00C379C8">
              <w:t>(l) for handling gases with a compressibility factor, rounded to the nearest second decimal, in the designated pressure and temperature range of the scope that is not equal to 1,00;</w:t>
            </w:r>
          </w:p>
          <w:p w:rsidR="00FE448B" w:rsidRPr="00C379C8" w:rsidP="002F6A28" w14:paraId="1C4C9046" w14:textId="77777777">
            <w:pPr>
              <w:spacing w:before="120" w:after="120"/>
            </w:pPr>
            <w:r w:rsidRPr="00C379C8">
              <w:t>(m) in cordless or battery-powered equipment;</w:t>
            </w:r>
          </w:p>
          <w:p w:rsidR="00FE448B" w:rsidRPr="00C379C8" w:rsidP="002F6A28" w14:paraId="40478A7F" w14:textId="77777777">
            <w:pPr>
              <w:spacing w:before="120" w:after="120"/>
            </w:pPr>
            <w:r w:rsidRPr="00C379C8">
              <w:t>(n) in handheld equipment whose weight is supported by hand during operation;</w:t>
            </w:r>
          </w:p>
          <w:p w:rsidR="00FE448B" w:rsidRPr="00C379C8" w:rsidP="002F6A28" w14:paraId="13990567" w14:textId="77777777">
            <w:pPr>
              <w:spacing w:before="120" w:after="120"/>
            </w:pPr>
            <w:r w:rsidRPr="00C379C8">
              <w:t>(o) in hand-guided mobile equipment moved while in operation;</w:t>
            </w:r>
          </w:p>
          <w:p w:rsidR="00FE448B" w:rsidRPr="00C379C8" w:rsidP="002F6A28" w14:paraId="7070FD08" w14:textId="77777777">
            <w:pPr>
              <w:spacing w:before="120" w:after="120"/>
            </w:pPr>
            <w:r w:rsidRPr="00C379C8">
              <w:t>(p) air circulating fans.</w:t>
            </w:r>
          </w:p>
        </w:tc>
      </w:tr>
      <w:tr w14:paraId="546BDA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FD93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B0A1FD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purpose of this Communiqué is to lay down </w:t>
            </w:r>
            <w:r w:rsidRPr="00C379C8" w:rsidR="00EE3A11">
              <w:t>ecodesign</w:t>
            </w:r>
            <w:r w:rsidRPr="00C379C8" w:rsidR="00EE3A11">
              <w:t xml:space="preserve"> requirements for the placing on the market or putting into service of fans with an electric input power between 125 W and 500 kW (≥ 125 W and ≤ 500 kW) at their best efficiency point, including where they are integrated into other products for the implementation of the Regulation on Environmentally Responsible Design of Energy-Related Products put into force by the Presidential Decree No. 5187 dated 4/2/2022.</w:t>
            </w:r>
          </w:p>
          <w:p w:rsidR="00EE3A11" w:rsidRPr="00C379C8" w:rsidP="002F6A28" w14:paraId="6E7332AC" w14:textId="77777777">
            <w:pPr>
              <w:spacing w:before="120" w:after="120"/>
            </w:pPr>
            <w:r w:rsidRPr="00C379C8">
              <w:t>This Communiqué has been prepared within the framework of harmonization with European Union legislation based on Commission Regulation (EU) No 2024/1834 of July 3, 2024 on Eco-Design Requirements for Fans Driven by Motors with Electrical Input Power Between 125 W and 500 kW, Implementing Directive 2009/125/EC of the European Parliament and of the Council, Repealing Commission Regulation (EU) No 327/2011; Consumer information, labelling; Harmonization</w:t>
            </w:r>
          </w:p>
        </w:tc>
      </w:tr>
      <w:tr w14:paraId="508E87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89AB8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2AA30F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6252EDA" w14:textId="77777777">
            <w:pPr>
              <w:spacing w:before="120" w:after="120"/>
            </w:pPr>
            <w:r w:rsidRPr="002F6A28">
              <w:t>Product Safety and Technical Regulations Law No. 7223 dated 5/3/2020, Article 388 of the Presidential Decree No. 1 on the Organization of the Presidency and the Regulation on Environmentally Responsible Design of Energy Related Products.</w:t>
            </w:r>
          </w:p>
          <w:p w:rsidR="00EE3A11" w:rsidRPr="002F6A28" w:rsidP="007F13E8" w14:paraId="5B8320CF" w14:textId="77777777">
            <w:pPr>
              <w:spacing w:before="120" w:after="120"/>
            </w:pPr>
            <w:r w:rsidRPr="002F6A28">
              <w:t xml:space="preserve">Commission Regulation (EU) No 2024/1834 of July 3, 2024 on Eco-Design Requirements for Fans Driven by Motors with Electrical Input Power Between 125 W and 500 kW, </w:t>
            </w:r>
            <w:r w:rsidRPr="002F6A28">
              <w:t>Implementing Directive 2009/125/EC of the European Parliament and of the Council, Repealing Commission Regulation (EU) No 327/2011</w:t>
            </w:r>
          </w:p>
        </w:tc>
      </w:tr>
      <w:tr w14:paraId="30FD61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6E5C6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7F1C3C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This Communique will be adopted upon its publication.</w:t>
            </w:r>
          </w:p>
          <w:p w:rsidR="00EE3A11" w:rsidRPr="002F6A28" w:rsidP="008953C4" w14:paraId="50F1ACE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This Communique;</w:t>
            </w:r>
          </w:p>
          <w:p w:rsidR="0050434E" w:rsidRPr="00C379C8" w:rsidP="008953C4" w14:paraId="6282BF15" w14:textId="77777777">
            <w:pPr>
              <w:spacing w:after="120"/>
            </w:pPr>
            <w:r w:rsidRPr="00C379C8">
              <w:t xml:space="preserve">a) Article 8 and the second paragraph of Provisional Article 1 enters into </w:t>
            </w:r>
            <w:r w:rsidRPr="00C379C8">
              <w:t>foce</w:t>
            </w:r>
            <w:r w:rsidRPr="00C379C8">
              <w:t xml:space="preserve"> on the date of publication,</w:t>
            </w:r>
          </w:p>
          <w:p w:rsidR="0050434E" w:rsidRPr="00C379C8" w:rsidP="008953C4" w14:paraId="4CE96610" w14:textId="77777777">
            <w:pPr>
              <w:spacing w:after="120"/>
            </w:pPr>
            <w:r w:rsidRPr="00C379C8">
              <w:t>b) Other provisions enter into force on 24/7/2027.</w:t>
            </w:r>
          </w:p>
        </w:tc>
      </w:tr>
      <w:tr w14:paraId="3568B5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3814F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2E0F1A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AA45C6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2025</w:t>
            </w:r>
          </w:p>
          <w:p w:rsidR="000C3B6C" w:rsidRPr="00E3324D" w:rsidP="000C3B6C" w14:paraId="6E78C99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ADB2D6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0D0CE810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89339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3C229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D5A960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A2A4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79AE3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1D9C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6F757C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B4F5F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G/TBT/N/TUR/227</w:t>
    </w:r>
    <w:bookmarkEnd w:id="0"/>
  </w:p>
  <w:p w:rsidR="009239F7" w:rsidRPr="002F6A28" w:rsidP="009239F7" w14:paraId="1F08A8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465C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684A10E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BF81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2B45B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B1E195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2E3D87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9D492A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B0BE883" w14:textId="77777777">
          <w:pPr>
            <w:jc w:val="right"/>
            <w:rPr>
              <w:b/>
              <w:szCs w:val="16"/>
            </w:rPr>
          </w:pPr>
        </w:p>
      </w:tc>
    </w:tr>
    <w:tr w14:paraId="7FBC05B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9F4E0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24D6F8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G/TBT/N/TUR/227</w:t>
          </w:r>
          <w:bookmarkEnd w:id="2"/>
        </w:p>
      </w:tc>
    </w:tr>
    <w:tr w14:paraId="5CC7697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34843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C01A8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October 2025</w:t>
          </w:r>
          <w:bookmarkEnd w:id="3"/>
          <w:bookmarkEnd w:id="4"/>
        </w:p>
      </w:tc>
    </w:tr>
    <w:tr w14:paraId="7927D32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925D6B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(25-6566)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BAA23A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958874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7DD670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3C7216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44A0D4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1532695">
    <w:abstractNumId w:val="9"/>
  </w:num>
  <w:num w:numId="2" w16cid:durableId="1809005912">
    <w:abstractNumId w:val="7"/>
  </w:num>
  <w:num w:numId="3" w16cid:durableId="1291672483">
    <w:abstractNumId w:val="6"/>
  </w:num>
  <w:num w:numId="4" w16cid:durableId="406197147">
    <w:abstractNumId w:val="5"/>
  </w:num>
  <w:num w:numId="5" w16cid:durableId="848829996">
    <w:abstractNumId w:val="4"/>
  </w:num>
  <w:num w:numId="6" w16cid:durableId="1280836435">
    <w:abstractNumId w:val="12"/>
  </w:num>
  <w:num w:numId="7" w16cid:durableId="1555236339">
    <w:abstractNumId w:val="11"/>
  </w:num>
  <w:num w:numId="8" w16cid:durableId="272171717">
    <w:abstractNumId w:val="10"/>
  </w:num>
  <w:num w:numId="9" w16cid:durableId="848637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7363782">
    <w:abstractNumId w:val="13"/>
  </w:num>
  <w:num w:numId="11" w16cid:durableId="1406300623">
    <w:abstractNumId w:val="8"/>
  </w:num>
  <w:num w:numId="12" w16cid:durableId="449397134">
    <w:abstractNumId w:val="3"/>
  </w:num>
  <w:num w:numId="13" w16cid:durableId="1469318503">
    <w:abstractNumId w:val="2"/>
  </w:num>
  <w:num w:numId="14" w16cid:durableId="1612394481">
    <w:abstractNumId w:val="1"/>
  </w:num>
  <w:num w:numId="15" w16cid:durableId="197009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961A9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C61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434E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B669C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3EAA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64FF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F0D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umeyye.sabanci@sanayi.gov.tr" TargetMode="External" /><Relationship Id="rId7" Type="http://schemas.openxmlformats.org/officeDocument/2006/relationships/hyperlink" Target="https://members.wto.org/crnattachments/2025/TBT/TUR/25_06841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358D3D-FDD6-40C6-BDD1-867A90BB720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3</Pages>
  <Words>979</Words>
  <Characters>5345</Characters>
  <Application>Microsoft Office Word</Application>
  <DocSecurity>0</DocSecurity>
  <Lines>108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2025-10-13T08:05:00Z</dcterms:created>
  <dcterms:modified xsi:type="dcterms:W3CDTF">2025-10-13T08:09:00Z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