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F821D79" w14:textId="77777777">
      <w:pPr>
        <w:pStyle w:val="Title"/>
      </w:pPr>
      <w:r w:rsidRPr="002F663C">
        <w:t>NOTIFICATION</w:t>
      </w:r>
    </w:p>
    <w:p w:rsidR="002F663C" w:rsidRPr="002F663C" w:rsidP="00DD3DD7" w14:paraId="5DB17F53" w14:textId="77777777">
      <w:pPr>
        <w:pStyle w:val="Title3"/>
      </w:pPr>
      <w:r w:rsidRPr="002F663C">
        <w:t>Addendum</w:t>
      </w:r>
    </w:p>
    <w:p w:rsidR="002F663C" w:rsidP="001E2E4A" w14:paraId="7D6E813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Canada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3603B08" w14:textId="77777777">
      <w:pPr>
        <w:rPr>
          <w:rFonts w:eastAsia="Calibri" w:cs="Times New Roman"/>
        </w:rPr>
      </w:pPr>
    </w:p>
    <w:p w:rsidR="002F663C" w:rsidRPr="002F663C" w:rsidP="002F663C" w14:paraId="6DC554C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652634F" w14:textId="77777777">
      <w:pPr>
        <w:rPr>
          <w:rFonts w:eastAsia="Calibri" w:cs="Times New Roman"/>
        </w:rPr>
      </w:pPr>
    </w:p>
    <w:p w:rsidR="00C14444" w:rsidRPr="002F663C" w:rsidP="002F663C" w14:paraId="61B8A1D8" w14:textId="77777777">
      <w:pPr>
        <w:rPr>
          <w:rFonts w:eastAsia="Calibri" w:cs="Times New Roman"/>
        </w:rPr>
      </w:pPr>
    </w:p>
    <w:p w:rsidR="002F663C" w:rsidRPr="002F663C" w:rsidP="002F663C" w14:paraId="0325B4A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Publication of </w:t>
      </w:r>
      <w:r w:rsidRPr="00022513">
        <w:rPr>
          <w:rFonts w:eastAsia="Calibri" w:cs="Times New Roman"/>
          <w:b/>
          <w:bCs/>
          <w:szCs w:val="18"/>
        </w:rPr>
        <w:t>RSS-102.IPD.MEAS, issue 2</w:t>
      </w:r>
      <w:r w:rsidRPr="00022513">
        <w:rPr>
          <w:rFonts w:eastAsia="Calibri" w:cs="Times New Roman"/>
          <w:bCs/>
          <w:szCs w:val="18"/>
        </w:rPr>
        <w:t xml:space="preserve"> - Measurement Procedure for Assessing Incident Power Density (IPD) Compliance in Accordance with RSS-102 &amp; </w:t>
      </w:r>
      <w:r w:rsidRPr="00022513">
        <w:rPr>
          <w:rFonts w:eastAsia="Calibri" w:cs="Times New Roman"/>
          <w:b/>
          <w:bCs/>
          <w:szCs w:val="18"/>
        </w:rPr>
        <w:t>RSS-102.IPD.SIM, issue 2</w:t>
      </w:r>
      <w:r w:rsidRPr="00022513">
        <w:rPr>
          <w:rFonts w:eastAsia="Calibri" w:cs="Times New Roman"/>
          <w:bCs/>
          <w:szCs w:val="18"/>
        </w:rPr>
        <w:t xml:space="preserve"> - Simulation Procedure for Assessing Incident Power Density (IPD) Compliance in Accordance with RSS-102</w:t>
      </w:r>
    </w:p>
    <w:p w:rsidR="002F663C" w:rsidRPr="002F663C" w:rsidP="002F663C" w14:paraId="588F8A8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1FDC35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5C281E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4A659D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3B03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F5756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D426D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CD09F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A947B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11 September 2025</w:t>
            </w:r>
          </w:p>
        </w:tc>
      </w:tr>
      <w:tr w14:paraId="5857D38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6733C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A3A44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September 2025</w:t>
            </w:r>
          </w:p>
        </w:tc>
      </w:tr>
      <w:tr w14:paraId="50EA8B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C5B1B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E4039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September 2025</w:t>
            </w:r>
          </w:p>
        </w:tc>
      </w:tr>
      <w:tr w14:paraId="20187A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F9DA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C32C9C9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373DFA9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RSS-102.IPD.MEAS, issue 2 - Measurement Procedure for Assessing Incident Power Density (IPD) Compliance in Accordance with RSS-102</w:t>
            </w:r>
          </w:p>
          <w:p w:rsidR="002F663C" w:rsidRPr="002F663C" w:rsidP="00EB7B40" w14:paraId="6F5846B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https://ised-isde.canada.ca/site/spectrum-management-telecommunications/en/devices-and-equipment/radio-equipment-standards/radio-standards-specifications-rss/rss-102ipdmeas-measurement-procedure-assessing-incident-power-density-ipd-compliance-accordance-rss</w:t>
              </w:r>
            </w:hyperlink>
            <w:r w:rsidRPr="002F663C" w:rsidR="00096DAB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289D98AC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https://ised-isde.canada.ca/site/gestion-spectre-telecommunications/fr/dispositifs-materiel/normes-applicables-materiel-radio/cahiers-charges-normes-radioelectriques-cnr/cnr-102dpimes-procedure-mesure-pour-effectuer-levaluation-conformite-densite-puissance-incidente-dpi</w:t>
              </w:r>
            </w:hyperlink>
            <w:r w:rsidRPr="002F663C" w:rsidR="00096DAB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40F6CF55" w14:textId="77777777">
            <w:pPr>
              <w:spacing w:before="120" w:after="120"/>
              <w:rPr>
                <w:rFonts w:eastAsia="Calibri" w:cs="Times New Roman"/>
              </w:rPr>
            </w:pPr>
            <w:hyperlink r:id="rId8" w:anchor="ne4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https://gazette.gc.ca/rp-pr/p1/2025/2025-09-27/html/notice-avis-eng.html#ne4</w:t>
              </w:r>
            </w:hyperlink>
            <w:r w:rsidRPr="002F663C" w:rsidR="00096DAB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577CC958" w14:textId="77777777">
            <w:pPr>
              <w:spacing w:before="120" w:after="120"/>
              <w:rPr>
                <w:rFonts w:eastAsia="Calibri" w:cs="Times New Roman"/>
              </w:rPr>
            </w:pPr>
            <w:hyperlink r:id="rId9" w:anchor="ne4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https://gazette.gc.ca/rp-pr/p1/2025/2025-09-27/html/notice-avis-fra.html#ne4</w:t>
              </w:r>
            </w:hyperlink>
            <w:r w:rsidRPr="002F663C" w:rsidR="00096DAB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69450A29" w14:textId="77777777">
            <w:pPr>
              <w:spacing w:before="120" w:after="120"/>
              <w:rPr>
                <w:rFonts w:eastAsia="Calibri" w:cs="Times New Roman"/>
              </w:rPr>
            </w:pPr>
            <w:r w:rsidRPr="002F663C">
              <w:rPr>
                <w:rFonts w:eastAsia="Calibri" w:cs="Times New Roman"/>
              </w:rPr>
              <w:t>RSS-102.IPD.SIM, issue 2 - Simulation Procedure for Assessing Incident Power Density (IPD) Compliance in Accordance with RSS-102</w:t>
            </w:r>
          </w:p>
          <w:p w:rsidR="002F663C" w:rsidRPr="002F663C" w:rsidP="00EB7B40" w14:paraId="18A3B4E4" w14:textId="77777777">
            <w:pPr>
              <w:spacing w:before="120" w:after="120"/>
              <w:rPr>
                <w:rFonts w:eastAsia="Calibri" w:cs="Times New Roman"/>
              </w:rPr>
            </w:pPr>
            <w:hyperlink r:id="rId10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https://ised-isde.canada.ca/site/spectrum-management-telecommunications/en/devices-and-equipment/radio-equipment-standards/radio-</w:t>
              </w:r>
              <w:r w:rsidRPr="002F663C">
                <w:rPr>
                  <w:rFonts w:eastAsia="Calibri" w:cs="Times New Roman"/>
                  <w:color w:val="0000FF"/>
                  <w:u w:val="single"/>
                </w:rPr>
                <w:t>standards-specifications-rss/rss-102ipdsim-simulation-procedure-assessing-incident-power-density-ipd-compliance-accordance-rss</w:t>
              </w:r>
            </w:hyperlink>
            <w:r w:rsidRPr="002F663C" w:rsidR="00096DAB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5B5F5B2E" w14:textId="77777777">
            <w:pPr>
              <w:spacing w:before="120" w:after="120"/>
              <w:rPr>
                <w:rFonts w:eastAsia="Calibri" w:cs="Times New Roman"/>
              </w:rPr>
            </w:pPr>
            <w:hyperlink r:id="rId11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https://ised-isde.canada.ca/site/gestion-spectre-telecommunications/fr/dispositifs-materiel/normes-applicables-materiel-radio/cahiers-charges-normes-radioelectriques-cnr/cnr-102dpisim-procedure-simulation-pour-effectuer-levaluation-conformite-densite-puissance-incidente</w:t>
              </w:r>
            </w:hyperlink>
            <w:r w:rsidRPr="002F663C" w:rsidR="00096DAB">
              <w:rPr>
                <w:rFonts w:eastAsia="Calibri" w:cs="Times New Roman"/>
              </w:rPr>
              <w:t xml:space="preserve"> (French)</w:t>
            </w:r>
          </w:p>
          <w:p w:rsidR="002F663C" w:rsidRPr="002F663C" w:rsidP="00EB7B40" w14:paraId="7439D112" w14:textId="77777777">
            <w:pPr>
              <w:spacing w:before="120" w:after="120"/>
              <w:rPr>
                <w:rFonts w:eastAsia="Calibri" w:cs="Times New Roman"/>
              </w:rPr>
            </w:pPr>
            <w:hyperlink r:id="rId8" w:anchor="ne4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https://gazette.gc.ca/rp-pr/p1/2025/2025-09-27/html/notice-avis-eng.html#ne4</w:t>
              </w:r>
            </w:hyperlink>
            <w:r w:rsidRPr="002F663C" w:rsidR="00096DAB">
              <w:rPr>
                <w:rFonts w:eastAsia="Calibri" w:cs="Times New Roman"/>
              </w:rPr>
              <w:t xml:space="preserve"> (English)</w:t>
            </w:r>
          </w:p>
          <w:p w:rsidR="002F663C" w:rsidRPr="002F663C" w:rsidP="00EB7B40" w14:paraId="691685D0" w14:textId="77777777">
            <w:pPr>
              <w:spacing w:before="120" w:after="120"/>
              <w:rPr>
                <w:rFonts w:eastAsia="Calibri" w:cs="Times New Roman"/>
              </w:rPr>
            </w:pPr>
            <w:hyperlink r:id="rId9" w:anchor="ne4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https://gazette.gc.ca/rp-pr/p1/2025/2025-09-27/html/notice-avis-fra.html#ne4</w:t>
              </w:r>
            </w:hyperlink>
            <w:r w:rsidRPr="002F663C" w:rsidR="00096DAB">
              <w:rPr>
                <w:rFonts w:eastAsia="Calibri" w:cs="Times New Roman"/>
              </w:rPr>
              <w:t xml:space="preserve"> (French)</w:t>
            </w:r>
          </w:p>
        </w:tc>
      </w:tr>
      <w:tr w14:paraId="422BC9A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2100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B26CE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ABB655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7F7AD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4E38F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8FBF2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49CA1C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CC20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D1AA1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D7815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8843DF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4BFAA49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98899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449A51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84F28F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Notice is hereby given that Innovation, Science and Economic Development Canada (ISED) has published the following documents:</w:t>
      </w:r>
    </w:p>
    <w:p w:rsidR="00A553AA" w:rsidRPr="002F663C" w:rsidP="00B16ACF" w14:paraId="6FE35BC0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Radio Standards Specification RSS-102.IPD.MEAS, issue 2, sets out general test methods for conducting a radio frequency (RF) exposure compliance assessment of portable equipment operating in the 6 GHz to 300 GHz frequency band, in accordance with the incident power density (IPD) limits specified in RSS-102.</w:t>
      </w:r>
    </w:p>
    <w:p w:rsidR="00A553AA" w:rsidRPr="002F663C" w:rsidP="00B16ACF" w14:paraId="0043D4A8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Radio Standards Specification RSS-102.IPD.SIM, issue 2, sets out the computational electromagnetics simulation methods for assessing compliance of portable equipment operating in the 6 GHz to 300 GHz frequency band, in accordance with the incident power density (IPD) limits as specified in RSS-102.</w:t>
      </w:r>
    </w:p>
    <w:p w:rsidR="006C5A96" w:rsidP="006C5A96" w14:paraId="4541E6E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C441CC4" w14:textId="77777777">
      <w:pPr>
        <w:jc w:val="center"/>
        <w:rPr>
          <w:b/>
        </w:rPr>
      </w:pPr>
    </w:p>
    <w:p w:rsidR="00A1565D" w:rsidP="003971FF" w14:paraId="2C103BD5" w14:textId="77777777">
      <w:pPr>
        <w:jc w:val="center"/>
        <w:rPr>
          <w:b/>
        </w:rPr>
      </w:pPr>
    </w:p>
    <w:sectPr w:rsidSect="006C5A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E3F64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EE286E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83A81A6" w14:textId="77777777">
      <w:r>
        <w:separator/>
      </w:r>
    </w:p>
  </w:footnote>
  <w:footnote w:type="continuationSeparator" w:id="1">
    <w:p w:rsidR="004D3A6A" w:rsidP="00ED54E0" w14:paraId="23AF84BC" w14:textId="77777777">
      <w:r>
        <w:continuationSeparator/>
      </w:r>
    </w:p>
  </w:footnote>
  <w:footnote w:id="2">
    <w:p w:rsidR="007F6EA2" w14:paraId="5238778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27CF3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EA85A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BA569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3D0DEC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DEEA1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G/TBT/N/CAN/744/Add.1</w:t>
    </w:r>
    <w:bookmarkEnd w:id="3"/>
  </w:p>
  <w:p w:rsidR="00DD3DD7" w:rsidRPr="00DD3DD7" w:rsidP="00DD3DD7" w14:paraId="16B934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A2BA9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81A940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A4AF1C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04F34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9F655E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D96457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829941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E221BEF" w14:textId="77777777">
          <w:pPr>
            <w:jc w:val="right"/>
            <w:rPr>
              <w:b/>
              <w:szCs w:val="16"/>
            </w:rPr>
          </w:pPr>
        </w:p>
      </w:tc>
    </w:tr>
    <w:tr w14:paraId="7176A84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8F2BA9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2EC478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G/TBT/N/CAN/744/Add.1</w:t>
          </w:r>
          <w:bookmarkEnd w:id="4"/>
        </w:p>
        <w:p w:rsidR="00C14444" w:rsidRPr="00C14444" w:rsidP="00C14444" w14:paraId="2D820E98" w14:textId="77777777">
          <w:pPr>
            <w:jc w:val="center"/>
            <w:rPr>
              <w:szCs w:val="16"/>
            </w:rPr>
          </w:pPr>
        </w:p>
      </w:tc>
    </w:tr>
    <w:tr w14:paraId="5828AEE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23459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431DE4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October 2025</w:t>
          </w:r>
          <w:bookmarkEnd w:id="5"/>
        </w:p>
      </w:tc>
    </w:tr>
    <w:tr w14:paraId="16E761D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BCA5904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(25-6370)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C5AF6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FABB2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5A1DB0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D5DB9B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English, French</w:t>
          </w:r>
          <w:bookmarkEnd w:id="7"/>
        </w:p>
      </w:tc>
    </w:tr>
  </w:tbl>
  <w:p w:rsidR="00ED54E0" w:rsidP="00DD3DD7" w14:paraId="38E8B1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275166646">
    <w:abstractNumId w:val="9"/>
  </w:num>
  <w:num w:numId="2" w16cid:durableId="454524437">
    <w:abstractNumId w:val="7"/>
  </w:num>
  <w:num w:numId="3" w16cid:durableId="2006667729">
    <w:abstractNumId w:val="6"/>
  </w:num>
  <w:num w:numId="4" w16cid:durableId="1762263159">
    <w:abstractNumId w:val="5"/>
  </w:num>
  <w:num w:numId="5" w16cid:durableId="1968312346">
    <w:abstractNumId w:val="4"/>
  </w:num>
  <w:num w:numId="6" w16cid:durableId="2098015831">
    <w:abstractNumId w:val="12"/>
  </w:num>
  <w:num w:numId="7" w16cid:durableId="1885366968">
    <w:abstractNumId w:val="11"/>
  </w:num>
  <w:num w:numId="8" w16cid:durableId="1902473932">
    <w:abstractNumId w:val="10"/>
  </w:num>
  <w:num w:numId="9" w16cid:durableId="17738931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330395">
    <w:abstractNumId w:val="13"/>
  </w:num>
  <w:num w:numId="11" w16cid:durableId="1948582189">
    <w:abstractNumId w:val="8"/>
  </w:num>
  <w:num w:numId="12" w16cid:durableId="1487166497">
    <w:abstractNumId w:val="3"/>
  </w:num>
  <w:num w:numId="13" w16cid:durableId="278462520">
    <w:abstractNumId w:val="2"/>
  </w:num>
  <w:num w:numId="14" w16cid:durableId="2086339210">
    <w:abstractNumId w:val="1"/>
  </w:num>
  <w:num w:numId="15" w16cid:durableId="550271783">
    <w:abstractNumId w:val="0"/>
  </w:num>
  <w:num w:numId="16" w16cid:durableId="205484507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14030233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96DAB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718FA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553A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20C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ised-isde.canada.ca/site/spectrum-management-telecommunications/en/devices-and-equipment/radio-equipment-standards/radio-standards-specifications-rss/rss-102ipdsim-simulation-procedure-assessing-incident-power-density-ipd-compliance-accordance-rss" TargetMode="External" /><Relationship Id="rId11" Type="http://schemas.openxmlformats.org/officeDocument/2006/relationships/hyperlink" Target="https://ised-isde.canada.ca/site/gestion-spectre-telecommunications/fr/dispositifs-materiel/normes-applicables-materiel-radio/cahiers-charges-normes-radioelectriques-cnr/cnr-102dpisim-procedure-simulation-pour-effectuer-levaluation-conformite-densite-puissance-incidente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ised-isde.canada.ca/site/spectrum-management-telecommunications/en/devices-and-equipment/radio-equipment-standards/radio-standards-specifications-rss/rss-102ipdmeas-measurement-procedure-assessing-incident-power-density-ipd-compliance-accordance-rss" TargetMode="External" /><Relationship Id="rId7" Type="http://schemas.openxmlformats.org/officeDocument/2006/relationships/hyperlink" Target="https://ised-isde.canada.ca/site/gestion-spectre-telecommunications/fr/dispositifs-materiel/normes-applicables-materiel-radio/cahiers-charges-normes-radioelectriques-cnr/cnr-102dpimes-procedure-mesure-pour-effectuer-levaluation-conformite-densite-puissance-incidente-dpi" TargetMode="External" /><Relationship Id="rId8" Type="http://schemas.openxmlformats.org/officeDocument/2006/relationships/hyperlink" Target="https://gazette.gc.ca/rp-pr/p1/2025/2025-09-27/html/notice-avis-eng.html" TargetMode="External" /><Relationship Id="rId9" Type="http://schemas.openxmlformats.org/officeDocument/2006/relationships/hyperlink" Target="https://gazette.gc.ca/rp-pr/p1/2025/2025-09-27/html/notice-avis-fra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2025-10-06T08:22:00Z</dcterms:created>
  <dcterms:modified xsi:type="dcterms:W3CDTF">2025-10-06T08:22:00Z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