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7D401D4" w14:textId="77777777">
      <w:pPr>
        <w:pStyle w:val="Title"/>
      </w:pPr>
      <w:r w:rsidRPr="002F663C">
        <w:t>NOTIFICATION</w:t>
      </w:r>
    </w:p>
    <w:p w:rsidR="002F663C" w:rsidRPr="002F663C" w:rsidP="00DD3DD7" w14:paraId="2B5700EA" w14:textId="77777777">
      <w:pPr>
        <w:pStyle w:val="Title3"/>
      </w:pPr>
      <w:r w:rsidRPr="002F663C">
        <w:t>Addendum</w:t>
      </w:r>
    </w:p>
    <w:p w:rsidR="002F663C" w:rsidP="001E2E4A" w14:paraId="43CAD98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 October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8085661" w14:textId="77777777">
      <w:pPr>
        <w:rPr>
          <w:rFonts w:eastAsia="Calibri" w:cs="Times New Roman"/>
        </w:rPr>
      </w:pPr>
    </w:p>
    <w:p w:rsidR="002F663C" w:rsidRPr="002F663C" w:rsidP="002F663C" w14:paraId="52E6998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39BFAFF" w14:textId="77777777">
      <w:pPr>
        <w:rPr>
          <w:rFonts w:eastAsia="Calibri" w:cs="Times New Roman"/>
        </w:rPr>
      </w:pPr>
    </w:p>
    <w:p w:rsidR="00C14444" w:rsidRPr="002F663C" w:rsidP="002F663C" w14:paraId="41F9029F" w14:textId="77777777">
      <w:pPr>
        <w:rPr>
          <w:rFonts w:eastAsia="Calibri" w:cs="Times New Roman"/>
        </w:rPr>
      </w:pPr>
    </w:p>
    <w:p w:rsidR="002F663C" w:rsidRPr="002F663C" w:rsidP="002F663C" w14:paraId="08E65C8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Publication of </w:t>
      </w:r>
      <w:r w:rsidRPr="00022513">
        <w:rPr>
          <w:rFonts w:eastAsia="Calibri" w:cs="Times New Roman"/>
          <w:b/>
          <w:bCs/>
          <w:szCs w:val="18"/>
        </w:rPr>
        <w:t>RSS-102.SAR.MEAS, issue 2</w:t>
      </w:r>
      <w:r w:rsidRPr="00022513">
        <w:rPr>
          <w:rFonts w:eastAsia="Calibri" w:cs="Times New Roman"/>
          <w:bCs/>
          <w:szCs w:val="18"/>
        </w:rPr>
        <w:t xml:space="preserve"> - Measurement Procedure for Assessing Specific Absorption Rate (SAR) Compliance in Accordance with RSS-102 &amp; </w:t>
      </w:r>
      <w:r w:rsidRPr="00022513">
        <w:rPr>
          <w:rFonts w:eastAsia="Calibri" w:cs="Times New Roman"/>
          <w:b/>
          <w:bCs/>
          <w:szCs w:val="18"/>
        </w:rPr>
        <w:t>RSS-102.SAR.SIM, issue 1</w:t>
      </w:r>
      <w:r w:rsidRPr="00022513">
        <w:rPr>
          <w:rFonts w:eastAsia="Calibri" w:cs="Times New Roman"/>
          <w:bCs/>
          <w:szCs w:val="18"/>
        </w:rPr>
        <w:t xml:space="preserve"> - Simulation Procedure for Assessing Specific Absorption Rate (SAR) Compliance in Accordance with RSS-102 </w:t>
      </w:r>
    </w:p>
    <w:p w:rsidR="002F663C" w:rsidRPr="002F663C" w:rsidP="002F663C" w14:paraId="0877E3C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76D339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A695EF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1832F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6156C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84C48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F0D2E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C4FA3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FC0B5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15 August 2025</w:t>
            </w:r>
          </w:p>
        </w:tc>
      </w:tr>
      <w:tr w14:paraId="572882E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C981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867F4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15 August 2025</w:t>
            </w:r>
          </w:p>
        </w:tc>
      </w:tr>
      <w:tr w14:paraId="60927F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8334E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35D62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15 August 2025</w:t>
            </w:r>
          </w:p>
        </w:tc>
      </w:tr>
      <w:tr w14:paraId="144C31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284D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782102A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56EADBC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RSS-102.SAR.MEAS, issue 2 - Measurement Procedure for Assessing Specific Absorption Rate (SAR) Compliance in Accordance with RSS-102</w:t>
            </w:r>
          </w:p>
          <w:p w:rsidR="002F663C" w:rsidRPr="002F663C" w:rsidP="00EB7B40" w14:paraId="220BD7A5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https://ised-isde.canada.ca/site/spectrum-management-telecommunications/en/devices-and-equipment/radio-equipment-standards/radio-standards-specifications-rss/measurement-procedure-assessing-specific-absorption-rate-sar-compliance-accordance-rss-102</w:t>
              </w:r>
            </w:hyperlink>
            <w:r w:rsidRPr="002F663C" w:rsidR="00F52978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3B5CA052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https://ised-isde.canada.ca/site/gestion-spectre-telecommunications/fr/dispositifs-materiel/normes-applicables-materiel-radio/cahiers-charges-normes-radioelectriques-cnr/procedure-mesure-pour-effectuer-levaluation-conformite-debit-dabsorption-specifique-das-selon-cnr</w:t>
              </w:r>
            </w:hyperlink>
            <w:r w:rsidRPr="002F663C" w:rsidR="00F52978">
              <w:rPr>
                <w:rFonts w:eastAsia="Calibri" w:cs="Times New Roman"/>
              </w:rPr>
              <w:t xml:space="preserve"> (French)</w:t>
            </w:r>
          </w:p>
          <w:p w:rsidR="002F663C" w:rsidRPr="002F663C" w:rsidP="00EB7B40" w14:paraId="6B7F3949" w14:textId="77777777">
            <w:pPr>
              <w:spacing w:before="120" w:after="120"/>
              <w:rPr>
                <w:rFonts w:eastAsia="Calibri" w:cs="Times New Roman"/>
              </w:rPr>
            </w:pPr>
            <w:hyperlink r:id="rId8" w:anchor="ne5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https://gazette.gc.ca/rp-pr/p1/2025/2025-09-06/html/notice-avis-eng.html#ne5</w:t>
              </w:r>
            </w:hyperlink>
            <w:r w:rsidRPr="002F663C" w:rsidR="00F52978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0AC59B03" w14:textId="77777777">
            <w:pPr>
              <w:spacing w:before="120" w:after="120"/>
              <w:rPr>
                <w:rFonts w:eastAsia="Calibri" w:cs="Times New Roman"/>
              </w:rPr>
            </w:pPr>
            <w:hyperlink r:id="rId9" w:anchor="ne5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https://gazette.gc.ca/rp-pr/p1/2025/2025-09-06/html/notice-avis-fra.html#ne5</w:t>
              </w:r>
            </w:hyperlink>
            <w:r w:rsidRPr="002F663C" w:rsidR="00F52978">
              <w:rPr>
                <w:rFonts w:eastAsia="Calibri" w:cs="Times New Roman"/>
              </w:rPr>
              <w:t xml:space="preserve"> (French)</w:t>
            </w:r>
          </w:p>
          <w:p w:rsidR="002F663C" w:rsidRPr="002F663C" w:rsidP="00EB7B40" w14:paraId="59D86E5F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RSS-102.SAR.SIM, issue 1 - Simulation Procedure for Assessing Specific Absorption Rate (SAR) Compliance in Accordance with RSS-102</w:t>
            </w:r>
          </w:p>
          <w:p w:rsidR="002F663C" w:rsidRPr="002F663C" w:rsidP="00EB7B40" w14:paraId="5F0F19C3" w14:textId="77777777">
            <w:pPr>
              <w:spacing w:before="120" w:after="120"/>
              <w:rPr>
                <w:rFonts w:eastAsia="Calibri" w:cs="Times New Roman"/>
              </w:rPr>
            </w:pPr>
            <w:hyperlink r:id="rId10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https://ised-isde.canada.ca/site/spectrum-management-telecommunications/en/devices-and-equipment/radio-equipment-standards/radio-</w:t>
              </w:r>
              <w:r w:rsidRPr="002F663C">
                <w:rPr>
                  <w:rFonts w:eastAsia="Calibri" w:cs="Times New Roman"/>
                  <w:color w:val="0000FF"/>
                  <w:u w:val="single"/>
                </w:rPr>
                <w:t>standards-specifications-rss/simulation-procedure-assessing-specific-absorption-rate-sar-compliance-accordance-rss-102</w:t>
              </w:r>
            </w:hyperlink>
            <w:r w:rsidRPr="002F663C" w:rsidR="00F52978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615C3337" w14:textId="77777777">
            <w:pPr>
              <w:spacing w:before="120" w:after="120"/>
              <w:rPr>
                <w:rFonts w:eastAsia="Calibri" w:cs="Times New Roman"/>
              </w:rPr>
            </w:pPr>
            <w:hyperlink r:id="rId11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https://ised-isde.canada.ca/site/gestion-spectre-telecommunications/fr/dispositifs-materiel/normes-applicables-materiel-radio/cahiers-charges-normes-radioelectriques-cnr/procedure-simulation-pour-evaluer-conformite-debit-dabsorption-specifique-das-selon-cnr-102</w:t>
              </w:r>
            </w:hyperlink>
            <w:r w:rsidRPr="002F663C" w:rsidR="00F52978">
              <w:rPr>
                <w:rFonts w:eastAsia="Calibri" w:cs="Times New Roman"/>
              </w:rPr>
              <w:t xml:space="preserve"> (French)</w:t>
            </w:r>
          </w:p>
          <w:p w:rsidR="002F663C" w:rsidRPr="002F663C" w:rsidP="00EB7B40" w14:paraId="2925BBF8" w14:textId="77777777">
            <w:pPr>
              <w:spacing w:before="120" w:after="120"/>
              <w:rPr>
                <w:rFonts w:eastAsia="Calibri" w:cs="Times New Roman"/>
              </w:rPr>
            </w:pPr>
            <w:hyperlink r:id="rId8" w:anchor="ne5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https://gazette.gc.ca/rp-pr/p1/2025/2025-09-06/html/notice-avis-eng.html#ne5</w:t>
              </w:r>
            </w:hyperlink>
            <w:r w:rsidRPr="002F663C" w:rsidR="00F52978">
              <w:rPr>
                <w:rFonts w:eastAsia="Calibri" w:cs="Times New Roman"/>
              </w:rPr>
              <w:t>(English)</w:t>
            </w:r>
          </w:p>
          <w:p w:rsidR="002F663C" w:rsidRPr="002F663C" w:rsidP="00EB7B40" w14:paraId="27A8DDA8" w14:textId="77777777">
            <w:pPr>
              <w:spacing w:before="120" w:after="120"/>
              <w:rPr>
                <w:rFonts w:eastAsia="Calibri" w:cs="Times New Roman"/>
              </w:rPr>
            </w:pPr>
            <w:hyperlink r:id="rId9" w:anchor="ne5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https://gazette.gc.ca/rp-pr/p1/2025/2025-09-06/html/notice-avis-fra.html#ne5</w:t>
              </w:r>
            </w:hyperlink>
            <w:r w:rsidRPr="002F663C" w:rsidR="00F52978">
              <w:rPr>
                <w:rFonts w:eastAsia="Calibri" w:cs="Times New Roman"/>
              </w:rPr>
              <w:t>(French)</w:t>
            </w:r>
          </w:p>
        </w:tc>
      </w:tr>
      <w:tr w14:paraId="232C26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0944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098B8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DF1E00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E8904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DAC5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E005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B4D462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885B0B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790E1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41F86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7FAA6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BD8391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111EE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5DE6DD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1291A7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Notice is hereby given that Innovation, Science and Economic Development Canada (ISED) has published the following documents:</w:t>
      </w:r>
    </w:p>
    <w:p w:rsidR="00A9655B" w:rsidRPr="002F663C" w:rsidP="00B16ACF" w14:paraId="00E81727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Radio Standards Specification RSS-102.SAR.MEAS, issue 2, sets out the SAR compliance requirements for all equipment operating in the 100 kHz to 6 GHz frequency band.</w:t>
      </w:r>
    </w:p>
    <w:p w:rsidR="00A9655B" w:rsidRPr="002F663C" w:rsidP="00B16ACF" w14:paraId="62CCEC30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Radio Standards Specification RSS-102.SAR.SIM, issue 1, sets out the computational electromagnetic simulation procedures for assessing compliance of equipment operating in the frequency range from 100 kHz to 6 GHz with SAR limits, as outlined in RSS-102.</w:t>
      </w:r>
    </w:p>
    <w:p w:rsidR="006C5A96" w:rsidP="006C5A96" w14:paraId="6A8DD00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D731CCC" w14:textId="77777777">
      <w:pPr>
        <w:jc w:val="center"/>
        <w:rPr>
          <w:b/>
        </w:rPr>
      </w:pPr>
    </w:p>
    <w:p w:rsidR="00A1565D" w:rsidP="003971FF" w14:paraId="2424A00B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415E9A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699FDB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DBFEDDB" w14:textId="77777777">
      <w:r>
        <w:separator/>
      </w:r>
    </w:p>
  </w:footnote>
  <w:footnote w:type="continuationSeparator" w:id="1">
    <w:p w:rsidR="004D3A6A" w:rsidP="00ED54E0" w14:paraId="6711FCEF" w14:textId="77777777">
      <w:r>
        <w:continuationSeparator/>
      </w:r>
    </w:p>
  </w:footnote>
  <w:footnote w:id="2">
    <w:p w:rsidR="007F6EA2" w14:paraId="77EDF7B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2D2D3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CFBF0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4F4D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5D860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9E521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G/TBT/N/CAN/737/Add.1</w:t>
    </w:r>
    <w:bookmarkEnd w:id="3"/>
  </w:p>
  <w:p w:rsidR="00DD3DD7" w:rsidRPr="00DD3DD7" w:rsidP="00DD3DD7" w14:paraId="463AE5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C76F2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A46A09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BC143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4A3E8B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229BB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77A68D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3607B4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766A2A5" w14:textId="77777777">
          <w:pPr>
            <w:jc w:val="right"/>
            <w:rPr>
              <w:b/>
              <w:szCs w:val="16"/>
            </w:rPr>
          </w:pPr>
        </w:p>
      </w:tc>
    </w:tr>
    <w:tr w14:paraId="44FBE0A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E14ABD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A121A2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G/TBT/N/CAN/737/Add.1</w:t>
          </w:r>
          <w:bookmarkEnd w:id="4"/>
        </w:p>
        <w:p w:rsidR="00C14444" w:rsidRPr="00C14444" w:rsidP="00C14444" w14:paraId="4380F320" w14:textId="77777777">
          <w:pPr>
            <w:jc w:val="center"/>
            <w:rPr>
              <w:szCs w:val="16"/>
            </w:rPr>
          </w:pPr>
        </w:p>
      </w:tc>
    </w:tr>
    <w:tr w14:paraId="70D151E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E5375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88B69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October 2025</w:t>
          </w:r>
          <w:bookmarkEnd w:id="5"/>
        </w:p>
      </w:tc>
    </w:tr>
    <w:tr w14:paraId="4F95175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93F508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(25-6372)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D01F80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7DD170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5ACFC3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8545F6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English, French</w:t>
          </w:r>
          <w:bookmarkEnd w:id="7"/>
        </w:p>
      </w:tc>
    </w:tr>
  </w:tbl>
  <w:p w:rsidR="00ED54E0" w:rsidP="00DD3DD7" w14:paraId="57C990A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821918762">
    <w:abstractNumId w:val="9"/>
  </w:num>
  <w:num w:numId="2" w16cid:durableId="55249288">
    <w:abstractNumId w:val="7"/>
  </w:num>
  <w:num w:numId="3" w16cid:durableId="1181626127">
    <w:abstractNumId w:val="6"/>
  </w:num>
  <w:num w:numId="4" w16cid:durableId="1687710780">
    <w:abstractNumId w:val="5"/>
  </w:num>
  <w:num w:numId="5" w16cid:durableId="2082825155">
    <w:abstractNumId w:val="4"/>
  </w:num>
  <w:num w:numId="6" w16cid:durableId="744450058">
    <w:abstractNumId w:val="12"/>
  </w:num>
  <w:num w:numId="7" w16cid:durableId="1682313950">
    <w:abstractNumId w:val="11"/>
  </w:num>
  <w:num w:numId="8" w16cid:durableId="1461142762">
    <w:abstractNumId w:val="10"/>
  </w:num>
  <w:num w:numId="9" w16cid:durableId="13652531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7928254">
    <w:abstractNumId w:val="13"/>
  </w:num>
  <w:num w:numId="11" w16cid:durableId="415783579">
    <w:abstractNumId w:val="8"/>
  </w:num>
  <w:num w:numId="12" w16cid:durableId="845480317">
    <w:abstractNumId w:val="3"/>
  </w:num>
  <w:num w:numId="13" w16cid:durableId="831217202">
    <w:abstractNumId w:val="2"/>
  </w:num>
  <w:num w:numId="14" w16cid:durableId="2088569352">
    <w:abstractNumId w:val="1"/>
  </w:num>
  <w:num w:numId="15" w16cid:durableId="1390882260">
    <w:abstractNumId w:val="0"/>
  </w:num>
  <w:num w:numId="16" w16cid:durableId="170278330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4642339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A6C8D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9655B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2978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CA29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ised-isde.canada.ca/site/spectrum-management-telecommunications/en/devices-and-equipment/radio-equipment-standards/radio-standards-specifications-rss/simulation-procedure-assessing-specific-absorption-rate-sar-compliance-accordance-rss-102" TargetMode="External" /><Relationship Id="rId11" Type="http://schemas.openxmlformats.org/officeDocument/2006/relationships/hyperlink" Target="https://ised-isde.canada.ca/site/gestion-spectre-telecommunications/fr/dispositifs-materiel/normes-applicables-materiel-radio/cahiers-charges-normes-radioelectriques-cnr/procedure-simulation-pour-evaluer-conformite-debit-dabsorption-specifique-das-selon-cnr-102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ised-isde.canada.ca/site/spectrum-management-telecommunications/en/devices-and-equipment/radio-equipment-standards/radio-standards-specifications-rss/measurement-procedure-assessing-specific-absorption-rate-sar-compliance-accordance-rss-102" TargetMode="External" /><Relationship Id="rId7" Type="http://schemas.openxmlformats.org/officeDocument/2006/relationships/hyperlink" Target="https://ised-isde.canada.ca/site/gestion-spectre-telecommunications/fr/dispositifs-materiel/normes-applicables-materiel-radio/cahiers-charges-normes-radioelectriques-cnr/procedure-mesure-pour-effectuer-levaluation-conformite-debit-dabsorption-specifique-das-selon-cnr" TargetMode="External" /><Relationship Id="rId8" Type="http://schemas.openxmlformats.org/officeDocument/2006/relationships/hyperlink" Target="https://gazette.gc.ca/rp-pr/p1/2025/2025-09-06/html/notice-avis-eng.html" TargetMode="External" /><Relationship Id="rId9" Type="http://schemas.openxmlformats.org/officeDocument/2006/relationships/hyperlink" Target="https://gazette.gc.ca/rp-pr/p1/2025/2025-09-06/html/notice-avis-fra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2025-10-06T08:19:00Z</dcterms:created>
  <dcterms:modified xsi:type="dcterms:W3CDTF">2025-10-06T08:19:00Z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