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7576A1B" w14:textId="77777777">
      <w:pPr>
        <w:pStyle w:val="Title"/>
        <w:rPr>
          <w:caps w:val="0"/>
          <w:kern w:val="0"/>
        </w:rPr>
      </w:pPr>
      <w:r w:rsidRPr="002F6A28">
        <w:rPr>
          <w:caps w:val="0"/>
          <w:kern w:val="0"/>
        </w:rPr>
        <w:t>NOTIFICATION</w:t>
      </w:r>
    </w:p>
    <w:p w:rsidR="009239F7" w:rsidRPr="002F6A28" w:rsidP="002F6A28" w14:paraId="2F8E5A3D" w14:textId="77777777">
      <w:pPr>
        <w:jc w:val="center"/>
      </w:pPr>
      <w:r w:rsidRPr="002F6A28">
        <w:t>The following notification is being circulated in accordance with Article 10.6</w:t>
      </w:r>
    </w:p>
    <w:p w:rsidR="009239F7" w:rsidRPr="002F6A28" w:rsidP="002F6A28" w14:paraId="03289421"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51581CD" w14:textId="77777777" w:rsidTr="00DB13FE">
        <w:tblPrEx>
          <w:tblW w:w="5000" w:type="pct"/>
          <w:tblLayout w:type="fixed"/>
          <w:tblLook w:val="0000"/>
        </w:tblPrEx>
        <w:tc>
          <w:tcPr>
            <w:tcW w:w="607" w:type="dxa"/>
            <w:tcBorders>
              <w:top w:val="double" w:sz="4" w:space="0" w:color="auto"/>
            </w:tcBorders>
          </w:tcPr>
          <w:p w:rsidR="00F85C99" w:rsidRPr="002F6A28" w:rsidP="002F6A28" w14:paraId="46C771C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C64DD8C"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7494372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6F52FD7" w14:textId="77777777" w:rsidTr="00DB13FE">
        <w:tblPrEx>
          <w:tblW w:w="5000" w:type="pct"/>
          <w:tblLayout w:type="fixed"/>
          <w:tblLook w:val="0000"/>
        </w:tblPrEx>
        <w:tc>
          <w:tcPr>
            <w:tcW w:w="607" w:type="dxa"/>
          </w:tcPr>
          <w:p w:rsidR="00F85C99" w:rsidRPr="002F6A28" w:rsidP="002F6A28" w14:paraId="55218830" w14:textId="77777777">
            <w:pPr>
              <w:spacing w:before="120" w:after="120"/>
              <w:jc w:val="left"/>
            </w:pPr>
            <w:r w:rsidRPr="002F6A28">
              <w:rPr>
                <w:b/>
              </w:rPr>
              <w:t>2.</w:t>
            </w:r>
          </w:p>
        </w:tc>
        <w:tc>
          <w:tcPr>
            <w:tcW w:w="8373" w:type="dxa"/>
          </w:tcPr>
          <w:p w:rsidR="00F85C99" w:rsidRPr="002F6A28" w:rsidP="000C3B6C" w14:paraId="027276E1" w14:textId="77777777">
            <w:pPr>
              <w:spacing w:before="120" w:after="120"/>
            </w:pPr>
            <w:r w:rsidRPr="002F6A28">
              <w:rPr>
                <w:b/>
              </w:rPr>
              <w:t>Agency responsible:</w:t>
            </w:r>
            <w:r w:rsidRPr="00C379C8" w:rsidR="00EE3A11">
              <w:t xml:space="preserve"> </w:t>
            </w:r>
          </w:p>
          <w:p w:rsidR="00EE3A11" w:rsidRPr="00C379C8" w:rsidP="000C3B6C" w14:paraId="7C473641" w14:textId="77777777">
            <w:r w:rsidRPr="00C379C8">
              <w:t>European Commission</w:t>
            </w:r>
          </w:p>
          <w:p w:rsidR="00EE3A11" w:rsidRPr="00C379C8" w:rsidP="000C3B6C" w14:paraId="52F95560" w14:textId="77777777">
            <w:r w:rsidRPr="00C379C8">
              <w:t>EU-TBT Enquiry Point,</w:t>
            </w:r>
          </w:p>
          <w:p w:rsidR="00EE3A11" w:rsidRPr="00C379C8" w:rsidP="000C3B6C" w14:paraId="424D14B9" w14:textId="77777777">
            <w:r w:rsidRPr="00C379C8">
              <w:t>Fax: +(32) 2 299 80 43,</w:t>
            </w:r>
          </w:p>
          <w:p w:rsidR="00EE3A11" w:rsidRPr="00C379C8" w:rsidP="000C3B6C" w14:paraId="2220D6AC" w14:textId="77777777">
            <w:r w:rsidRPr="00C379C8">
              <w:t xml:space="preserve">E-mail: </w:t>
            </w:r>
            <w:hyperlink r:id="rId6" w:history="1">
              <w:r w:rsidRPr="00C379C8">
                <w:rPr>
                  <w:color w:val="0000FF"/>
                  <w:u w:val="single"/>
                </w:rPr>
                <w:t>grow-eu-tbt@ec.europa.eu</w:t>
              </w:r>
            </w:hyperlink>
          </w:p>
          <w:p w:rsidR="00EE3A11" w:rsidRPr="00C379C8" w:rsidP="000C3B6C" w14:paraId="60D859AD"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5FD88C95" w14:textId="77777777" w:rsidTr="00DB13FE">
        <w:tblPrEx>
          <w:tblW w:w="5000" w:type="pct"/>
          <w:tblLayout w:type="fixed"/>
          <w:tblLook w:val="0000"/>
        </w:tblPrEx>
        <w:tc>
          <w:tcPr>
            <w:tcW w:w="607" w:type="dxa"/>
          </w:tcPr>
          <w:p w:rsidR="00F85C99" w:rsidRPr="002F6A28" w:rsidP="002F6A28" w14:paraId="67393DD2" w14:textId="77777777">
            <w:pPr>
              <w:spacing w:before="120" w:after="120"/>
              <w:jc w:val="left"/>
              <w:rPr>
                <w:b/>
              </w:rPr>
            </w:pPr>
            <w:r w:rsidRPr="002F6A28">
              <w:rPr>
                <w:b/>
              </w:rPr>
              <w:t>3.</w:t>
            </w:r>
          </w:p>
        </w:tc>
        <w:tc>
          <w:tcPr>
            <w:tcW w:w="8373" w:type="dxa"/>
          </w:tcPr>
          <w:p w:rsidR="00F85C99" w:rsidRPr="0058336F" w:rsidP="002F6A28" w14:paraId="1A057EA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77FA5FB" w14:textId="77777777" w:rsidTr="00DB13FE">
        <w:tblPrEx>
          <w:tblW w:w="5000" w:type="pct"/>
          <w:tblLayout w:type="fixed"/>
          <w:tblLook w:val="0000"/>
        </w:tblPrEx>
        <w:tc>
          <w:tcPr>
            <w:tcW w:w="607" w:type="dxa"/>
          </w:tcPr>
          <w:p w:rsidR="00F85C99" w:rsidRPr="002F6A28" w:rsidP="002F6A28" w14:paraId="119607A6" w14:textId="77777777">
            <w:pPr>
              <w:spacing w:before="120" w:after="120"/>
              <w:jc w:val="left"/>
            </w:pPr>
            <w:r w:rsidRPr="002F6A28">
              <w:rPr>
                <w:b/>
              </w:rPr>
              <w:t>4.</w:t>
            </w:r>
          </w:p>
        </w:tc>
        <w:tc>
          <w:tcPr>
            <w:tcW w:w="8373" w:type="dxa"/>
          </w:tcPr>
          <w:p w:rsidR="00F85C99" w:rsidRPr="002F6A28" w:rsidP="002F6A28" w14:paraId="43B024C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Pesticide active substances</w:t>
            </w:r>
          </w:p>
        </w:tc>
      </w:tr>
      <w:tr w14:paraId="2DC9C269" w14:textId="77777777" w:rsidTr="00DB13FE">
        <w:tblPrEx>
          <w:tblW w:w="5000" w:type="pct"/>
          <w:tblLayout w:type="fixed"/>
          <w:tblLook w:val="0000"/>
        </w:tblPrEx>
        <w:tc>
          <w:tcPr>
            <w:tcW w:w="607" w:type="dxa"/>
          </w:tcPr>
          <w:p w:rsidR="00F85C99" w:rsidRPr="002F6A28" w:rsidP="002F6A28" w14:paraId="570F7728" w14:textId="77777777">
            <w:pPr>
              <w:spacing w:before="120" w:after="120"/>
              <w:jc w:val="left"/>
            </w:pPr>
            <w:r w:rsidRPr="002F6A28">
              <w:rPr>
                <w:b/>
              </w:rPr>
              <w:t>5.</w:t>
            </w:r>
          </w:p>
        </w:tc>
        <w:tc>
          <w:tcPr>
            <w:tcW w:w="8373" w:type="dxa"/>
          </w:tcPr>
          <w:p w:rsidR="00F85C99" w:rsidP="002F6A28" w14:paraId="075B25B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Regulation amending Commission Regulation (EU) No 283/2013 as regards the information to be submitted for active substances; (4 page(s), in English), (83 page(s), in English)</w:t>
            </w:r>
          </w:p>
          <w:p w:rsidR="000C3B6C" w:rsidRPr="000C3B6C" w:rsidP="002F6A28" w14:paraId="4EC3358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C4355" w:rsidRPr="00CE6C29" w:rsidP="002F6A28" w14:paraId="31E83CAD" w14:textId="77777777">
            <w:pPr>
              <w:pBdr>
                <w:top w:val="none" w:sz="0" w:space="4" w:color="auto"/>
              </w:pBdr>
              <w:rPr>
                <w:iCs/>
              </w:rPr>
            </w:pPr>
            <w:hyperlink r:id="rId8" w:tgtFrame="_blank" w:history="1">
              <w:r w:rsidRPr="00CE6C29">
                <w:rPr>
                  <w:iCs/>
                  <w:color w:val="0000FF"/>
                  <w:u w:val="single"/>
                </w:rPr>
                <w:t>https://members.wto.org/crnattachments/2025/TBT/EEC/25_06509_00_e.pdf</w:t>
              </w:r>
            </w:hyperlink>
          </w:p>
          <w:p w:rsidR="002C4355" w:rsidRPr="00CE6C29" w:rsidP="002F6A28" w14:paraId="356C9622" w14:textId="77777777">
            <w:pPr>
              <w:pBdr>
                <w:bottom w:val="none" w:sz="0" w:space="4" w:color="auto"/>
              </w:pBdr>
              <w:rPr>
                <w:iCs/>
              </w:rPr>
            </w:pPr>
            <w:hyperlink r:id="rId9" w:tgtFrame="_blank" w:history="1">
              <w:r w:rsidRPr="00CE6C29">
                <w:rPr>
                  <w:iCs/>
                  <w:color w:val="0000FF"/>
                  <w:u w:val="single"/>
                </w:rPr>
                <w:t>https://members.wto.org/crnattachments/2025/TBT/EEC/25_06509_01_e.pdf</w:t>
              </w:r>
            </w:hyperlink>
          </w:p>
          <w:p w:rsidR="002C4355" w:rsidRPr="00CE6C29" w:rsidP="002F6A28" w14:paraId="21C875AA" w14:textId="77777777">
            <w:pPr>
              <w:rPr>
                <w:iCs/>
              </w:rPr>
            </w:pPr>
            <w:r w:rsidRPr="00CE6C29">
              <w:rPr>
                <w:iCs/>
              </w:rPr>
              <w:t>European Commission</w:t>
            </w:r>
          </w:p>
          <w:p w:rsidR="002C4355" w:rsidRPr="00CE6C29" w:rsidP="002F6A28" w14:paraId="2256B009" w14:textId="77777777">
            <w:pPr>
              <w:rPr>
                <w:iCs/>
              </w:rPr>
            </w:pPr>
            <w:r w:rsidRPr="00CE6C29">
              <w:rPr>
                <w:iCs/>
              </w:rPr>
              <w:t>EU-TBT Enquiry Point</w:t>
            </w:r>
          </w:p>
          <w:p w:rsidR="002C4355" w:rsidRPr="00CE6C29" w:rsidP="002F6A28" w14:paraId="72AC025D" w14:textId="77777777">
            <w:pPr>
              <w:rPr>
                <w:iCs/>
              </w:rPr>
            </w:pPr>
            <w:r w:rsidRPr="00CE6C29">
              <w:rPr>
                <w:iCs/>
              </w:rPr>
              <w:t>Fax: + (32) 2 299 80 43</w:t>
            </w:r>
          </w:p>
          <w:p w:rsidR="002C4355" w:rsidRPr="00CE6C29" w:rsidP="002F6A28" w14:paraId="4BE3935C" w14:textId="77777777">
            <w:pPr>
              <w:rPr>
                <w:iCs/>
              </w:rPr>
            </w:pPr>
            <w:r w:rsidRPr="00CE6C29">
              <w:rPr>
                <w:iCs/>
              </w:rPr>
              <w:t xml:space="preserve">E-mail: </w:t>
            </w:r>
            <w:hyperlink r:id="rId6" w:history="1">
              <w:r w:rsidRPr="00CE6C29">
                <w:rPr>
                  <w:iCs/>
                  <w:color w:val="0000FF"/>
                  <w:u w:val="single"/>
                </w:rPr>
                <w:t>grow-eu-tbt@ec.europa.eu</w:t>
              </w:r>
            </w:hyperlink>
          </w:p>
          <w:p w:rsidR="002C4355" w:rsidRPr="00CE6C29" w:rsidP="002F6A28" w14:paraId="749907B6"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34EA09DA" w14:textId="77777777" w:rsidTr="00DB13FE">
        <w:tblPrEx>
          <w:tblW w:w="5000" w:type="pct"/>
          <w:tblLayout w:type="fixed"/>
          <w:tblLook w:val="0000"/>
        </w:tblPrEx>
        <w:tc>
          <w:tcPr>
            <w:tcW w:w="607" w:type="dxa"/>
          </w:tcPr>
          <w:p w:rsidR="00F85C99" w:rsidRPr="002F6A28" w:rsidP="002F6A28" w14:paraId="30340233" w14:textId="77777777">
            <w:pPr>
              <w:spacing w:before="120" w:after="120"/>
              <w:jc w:val="left"/>
              <w:rPr>
                <w:b/>
              </w:rPr>
            </w:pPr>
            <w:r w:rsidRPr="002F6A28">
              <w:rPr>
                <w:b/>
              </w:rPr>
              <w:t>6.</w:t>
            </w:r>
          </w:p>
        </w:tc>
        <w:tc>
          <w:tcPr>
            <w:tcW w:w="8373" w:type="dxa"/>
          </w:tcPr>
          <w:p w:rsidR="00F85C99" w:rsidRPr="002F6A28" w:rsidP="002F6A28" w14:paraId="56452003" w14:textId="77777777">
            <w:pPr>
              <w:spacing w:before="120" w:after="120"/>
              <w:rPr>
                <w:b/>
              </w:rPr>
            </w:pPr>
            <w:r w:rsidRPr="002F6A28">
              <w:rPr>
                <w:b/>
              </w:rPr>
              <w:t>Description of content:</w:t>
            </w:r>
            <w:r w:rsidRPr="00C379C8" w:rsidR="00FE448B">
              <w:t xml:space="preserve"> This draft Commission Regulation includes amendments to the Annex to the Commission Regulation (EU) No 283/2013 setting out the data requirements for active substances in plant protection products</w:t>
            </w:r>
          </w:p>
        </w:tc>
      </w:tr>
      <w:tr w14:paraId="5928A465" w14:textId="77777777" w:rsidTr="00403E65">
        <w:tblPrEx>
          <w:tblW w:w="5000" w:type="pct"/>
          <w:tblLayout w:type="fixed"/>
          <w:tblLook w:val="0000"/>
        </w:tblPrEx>
        <w:trPr>
          <w:cantSplit/>
        </w:trPr>
        <w:tc>
          <w:tcPr>
            <w:tcW w:w="607" w:type="dxa"/>
          </w:tcPr>
          <w:p w:rsidR="00F85C99" w:rsidRPr="002F6A28" w:rsidP="002F6A28" w14:paraId="1188C637" w14:textId="77777777">
            <w:pPr>
              <w:spacing w:before="120" w:after="120"/>
              <w:jc w:val="left"/>
              <w:rPr>
                <w:b/>
              </w:rPr>
            </w:pPr>
            <w:r w:rsidRPr="002F6A28">
              <w:rPr>
                <w:b/>
              </w:rPr>
              <w:t>7.</w:t>
            </w:r>
          </w:p>
        </w:tc>
        <w:tc>
          <w:tcPr>
            <w:tcW w:w="8373" w:type="dxa"/>
          </w:tcPr>
          <w:p w:rsidR="00F85C99" w:rsidRPr="002F6A28" w:rsidP="002F6A28" w14:paraId="4728F389" w14:textId="77777777">
            <w:pPr>
              <w:spacing w:before="120" w:after="120"/>
              <w:rPr>
                <w:b/>
              </w:rPr>
            </w:pPr>
            <w:r w:rsidRPr="002F6A28">
              <w:rPr>
                <w:b/>
              </w:rPr>
              <w:t>Objective and rationale, including the nature of urgent problems where applicable:</w:t>
            </w:r>
            <w:r w:rsidRPr="00C379C8" w:rsidR="00EE3A11">
              <w:t xml:space="preserve"> Regulation (EC) No 1107/2009 ensures a high level of protection to human health and the environment. To implement the provisions of the legislation, data requirements for compiling dossiers for application for approval or renewal of approval of active substances are set in Commission Regulation (EU) No 283/2013.</w:t>
            </w:r>
          </w:p>
          <w:p w:rsidR="00EE3A11" w:rsidRPr="00C379C8" w:rsidP="002F6A28" w14:paraId="0913BA85" w14:textId="77777777">
            <w:pPr>
              <w:spacing w:before="120" w:after="120"/>
            </w:pPr>
            <w:r w:rsidRPr="00C379C8">
              <w:t>During the last 10 years since adoption of this Regulation, available methodologies for conducting regulatory studies and/or risk assessments have evolved: in particular some new approaches for conducting risk assessments and new study protocols that may include alternatives to non-animal testing have become available while others have become obsolete. Furthermore, the EFSA Guidance Documents on conducting risk assessments for bees, and birds and mammals, respectively, were revised referring to different or</w:t>
            </w:r>
            <w:r w:rsidRPr="00C379C8">
              <w:t xml:space="preserve"> additional tests, and a new Guidance Document on the impact of water treatment processes has been published.</w:t>
            </w:r>
          </w:p>
          <w:p w:rsidR="00EE3A11" w:rsidRPr="00C379C8" w:rsidP="002F6A28" w14:paraId="54E73B6F" w14:textId="77777777">
            <w:pPr>
              <w:spacing w:before="120" w:after="120"/>
            </w:pPr>
            <w:r w:rsidRPr="00C379C8">
              <w:t>This draft Commission Regulation aims at amending the data requirements for applications for the approval of active substances in Commission Regulation (EU) 283/2013 in order to adapt them to technical and scientific progress and to align, where necessary, with testing requirements in other legislation (e.g. REACH).</w:t>
            </w:r>
          </w:p>
          <w:p w:rsidR="00EE3A11" w:rsidRPr="00C379C8" w:rsidP="002F6A28" w14:paraId="45DFF73A" w14:textId="77777777">
            <w:pPr>
              <w:spacing w:before="120" w:after="120"/>
            </w:pPr>
            <w:r w:rsidRPr="00C379C8">
              <w:t>This initiative is complemented by others concerning amendments to:</w:t>
            </w:r>
          </w:p>
          <w:p w:rsidR="00EE3A11" w:rsidRPr="00C379C8" w:rsidP="002F6A28" w14:paraId="3C1C471C" w14:textId="77777777">
            <w:pPr>
              <w:numPr>
                <w:ilvl w:val="0"/>
                <w:numId w:val="16"/>
              </w:numPr>
              <w:spacing w:before="120" w:after="120"/>
            </w:pPr>
            <w:r w:rsidRPr="00C379C8">
              <w:t>Commission Regulation (EU) No 546/2011 setting out the uniform principles for evaluation and authorisation of plant protection products;</w:t>
            </w:r>
          </w:p>
          <w:p w:rsidR="00EE3A11" w:rsidRPr="00C379C8" w:rsidP="002F6A28" w14:paraId="23E0CB40" w14:textId="77777777">
            <w:pPr>
              <w:numPr>
                <w:ilvl w:val="0"/>
                <w:numId w:val="16"/>
              </w:numPr>
              <w:spacing w:before="120" w:after="120"/>
            </w:pPr>
            <w:r w:rsidRPr="00C379C8">
              <w:t>Commission Regulation (EU) No 284/2013 setting out the data requirements for plant protection products</w:t>
            </w:r>
          </w:p>
          <w:p w:rsidR="00EE3A11" w:rsidRPr="00C379C8" w:rsidP="002F6A28" w14:paraId="01E21412" w14:textId="77777777">
            <w:pPr>
              <w:spacing w:before="120" w:after="120"/>
              <w:ind w:left="720"/>
            </w:pPr>
            <w:r w:rsidRPr="00C379C8">
              <w:t>&lt;; Protection of human health or safety; Protection of animal or plant life or health; Protection of the environment</w:t>
            </w:r>
          </w:p>
        </w:tc>
      </w:tr>
      <w:tr w14:paraId="5E202D85" w14:textId="77777777" w:rsidTr="00DB13FE">
        <w:tblPrEx>
          <w:tblW w:w="5000" w:type="pct"/>
          <w:tblLayout w:type="fixed"/>
          <w:tblLook w:val="0000"/>
        </w:tblPrEx>
        <w:tc>
          <w:tcPr>
            <w:tcW w:w="607" w:type="dxa"/>
          </w:tcPr>
          <w:p w:rsidR="00F85C99" w:rsidRPr="002F6A28" w:rsidP="009E75ED" w14:paraId="073796D5" w14:textId="77777777">
            <w:pPr>
              <w:spacing w:before="120" w:after="120"/>
              <w:jc w:val="left"/>
              <w:rPr>
                <w:b/>
              </w:rPr>
            </w:pPr>
            <w:r w:rsidRPr="002F6A28">
              <w:rPr>
                <w:b/>
              </w:rPr>
              <w:t>8.</w:t>
            </w:r>
          </w:p>
        </w:tc>
        <w:tc>
          <w:tcPr>
            <w:tcW w:w="8373" w:type="dxa"/>
          </w:tcPr>
          <w:p w:rsidR="000C3B6C" w:rsidRPr="00EC00D2" w:rsidP="007F13E8" w14:paraId="7AA20F37" w14:textId="77777777">
            <w:pPr>
              <w:spacing w:before="120" w:after="120"/>
              <w:rPr>
                <w:bCs/>
              </w:rPr>
            </w:pPr>
            <w:r w:rsidRPr="002F6A28">
              <w:rPr>
                <w:b/>
              </w:rPr>
              <w:t>Relevant documents:</w:t>
            </w:r>
            <w:r w:rsidRPr="002F6A28" w:rsidR="00EE3A11">
              <w:t xml:space="preserve"> </w:t>
            </w:r>
          </w:p>
          <w:p w:rsidR="00EE3A11" w:rsidRPr="002F6A28" w:rsidP="007F13E8" w14:paraId="362EA6C5" w14:textId="77777777">
            <w:pPr>
              <w:numPr>
                <w:ilvl w:val="0"/>
                <w:numId w:val="17"/>
              </w:numPr>
              <w:spacing w:before="120" w:after="120"/>
            </w:pPr>
            <w:r w:rsidRPr="002F6A28">
              <w:t xml:space="preserve">Regulation (EC) No 1107/2009 of the European Parliament and of the Council of 21 October 2009 concerning the placing of plant protection products on the market and repealing Council Directives 79/117/EEC and 91/414/EEC: </w:t>
            </w:r>
            <w:hyperlink r:id="rId10" w:history="1">
              <w:r w:rsidRPr="002F6A28">
                <w:rPr>
                  <w:color w:val="0000FF"/>
                  <w:u w:val="single"/>
                </w:rPr>
                <w:t>https://eur-lex.europa.eu/legal-content/EN/TXT/?uri=celex%3A32009R1107</w:t>
              </w:r>
            </w:hyperlink>
          </w:p>
          <w:p w:rsidR="00EE3A11" w:rsidRPr="002F6A28" w:rsidP="007F13E8" w14:paraId="36C09BB9" w14:textId="77777777">
            <w:pPr>
              <w:numPr>
                <w:ilvl w:val="0"/>
                <w:numId w:val="17"/>
              </w:numPr>
              <w:spacing w:before="120" w:after="120"/>
            </w:pPr>
            <w:r w:rsidRPr="002F6A28">
              <w:t xml:space="preserve">Commission Regulation (EU) No 283/2013 of 1 March 2013 setting out the data requirements for active substances, in accordance with Regulation (EC) No 1107/2009 of the European Parliament and of the Council concerning the placing of plant protection products on the market Text with EEA relevance </w:t>
            </w:r>
            <w:hyperlink r:id="rId11" w:history="1">
              <w:r w:rsidRPr="002F6A28">
                <w:rPr>
                  <w:color w:val="0000FF"/>
                  <w:u w:val="single"/>
                </w:rPr>
                <w:t>https://eur-lex.europa.eu/legal-content/EN/ALL/?uri=CELEX%3A32013R0283</w:t>
              </w:r>
            </w:hyperlink>
          </w:p>
          <w:p w:rsidR="00EE3A11" w:rsidRPr="002F6A28" w:rsidP="007F13E8" w14:paraId="1622DEFA" w14:textId="77777777">
            <w:pPr>
              <w:numPr>
                <w:ilvl w:val="0"/>
                <w:numId w:val="17"/>
              </w:numPr>
              <w:spacing w:before="120" w:after="120"/>
            </w:pPr>
            <w:r w:rsidRPr="002F6A28">
              <w:t>ECHA and EFSA (European Chemicals Agency and European Food Safety Authority), Hofman-Caris, R., Dingemans, M., Reus, A., Shaikh, S. M., Munoz Sierra, J., Karges,U.,aus der Beek, T., Nogueiro, E., Lythgo, C., Parra Morte, J. M., Bastaki, M., Seraﬁmova,R., Friel, A., Court Marques, D., Uphoff, A., Bielska, L., Putzu, C., Papadaki, P. (2023). Guidance document on the impact of water treatment processes on residues of active substances or their metabolites in water abstracted for the production of drinking wate</w:t>
            </w:r>
            <w:r w:rsidRPr="002F6A28">
              <w:t xml:space="preserve">r. EFSA Journal, 21(8), 1–108. </w:t>
            </w:r>
            <w:hyperlink r:id="rId12" w:history="1">
              <w:r w:rsidRPr="002F6A28">
                <w:rPr>
                  <w:color w:val="0000FF"/>
                  <w:u w:val="single"/>
                </w:rPr>
                <w:t>https://doi.org/10.2903/j.efsa.2023.8194</w:t>
              </w:r>
            </w:hyperlink>
          </w:p>
          <w:p w:rsidR="00EE3A11" w:rsidRPr="002F6A28" w:rsidP="007F13E8" w14:paraId="52D0DD55" w14:textId="77777777">
            <w:pPr>
              <w:numPr>
                <w:ilvl w:val="0"/>
                <w:numId w:val="17"/>
              </w:numPr>
              <w:spacing w:before="120" w:after="120"/>
            </w:pPr>
            <w:r w:rsidRPr="002F6A28">
              <w:t xml:space="preserve">EFSA (European Food Safety Authority), Aagaard A, Berny P, Chaton PF, Antia AL, McVey E, Arena M, Fait G, Ippolito A, Linguadoca A, Sharp R, Theobald A and Brock T, 2023.Guidance on the risk assessment for Birds and Mammals. EFSA Journal 2023;21(2):7790, 300 pp. </w:t>
            </w:r>
            <w:hyperlink r:id="rId13" w:tgtFrame="_blank" w:history="1">
              <w:r w:rsidRPr="002F6A28">
                <w:rPr>
                  <w:color w:val="0000FF"/>
                  <w:u w:val="single"/>
                </w:rPr>
                <w:t>https://doi.org/10.2903/j.efsa.2023.7790</w:t>
              </w:r>
            </w:hyperlink>
          </w:p>
          <w:p w:rsidR="00EE3A11" w:rsidRPr="002F6A28" w:rsidP="007F13E8" w14:paraId="31C7EEC8" w14:textId="77777777">
            <w:pPr>
              <w:numPr>
                <w:ilvl w:val="0"/>
                <w:numId w:val="17"/>
              </w:numPr>
              <w:spacing w:before="120" w:after="120"/>
            </w:pPr>
            <w:r w:rsidRPr="002F6A28">
              <w:t>EFSA (European Food Safety Authority), Adriaanse P, Arce A, Focks A, Ingels B, Jölli D, Lambin S, Rundlöf M, Süßenbach D, Del Aguila M, Ercolano V, Ferilli F, Ippolito A, Szentes Cs, Neri FM, Padovani L, Rortais A, Wassenberg J and Auteri D, 2023. Revised guidance on the risk assessment of plant protection products on bees (</w:t>
            </w:r>
            <w:r w:rsidRPr="002F6A28">
              <w:rPr>
                <w:i/>
                <w:iCs/>
              </w:rPr>
              <w:t>Apis mellifera</w:t>
            </w:r>
            <w:r w:rsidRPr="002F6A28">
              <w:t xml:space="preserve">, </w:t>
            </w:r>
            <w:r w:rsidRPr="002F6A28">
              <w:rPr>
                <w:i/>
                <w:iCs/>
              </w:rPr>
              <w:t>Bombus</w:t>
            </w:r>
            <w:r w:rsidRPr="002F6A28">
              <w:t xml:space="preserve"> spp. and solitary bees). EFSAJournal 2023;21(5):7989, 133 pp. </w:t>
            </w:r>
            <w:hyperlink r:id="rId14" w:tgtFrame="_blank" w:history="1">
              <w:r w:rsidRPr="002F6A28">
                <w:rPr>
                  <w:color w:val="0000FF"/>
                  <w:u w:val="single"/>
                </w:rPr>
                <w:t>https://doi.org/10.2903/j.efsa.2023.7989</w:t>
              </w:r>
            </w:hyperlink>
          </w:p>
        </w:tc>
      </w:tr>
      <w:tr w14:paraId="5B0BBA8B" w14:textId="77777777" w:rsidTr="00403E65">
        <w:tblPrEx>
          <w:tblW w:w="5000" w:type="pct"/>
          <w:tblLayout w:type="fixed"/>
          <w:tblLook w:val="0000"/>
        </w:tblPrEx>
        <w:trPr>
          <w:cantSplit/>
        </w:trPr>
        <w:tc>
          <w:tcPr>
            <w:tcW w:w="607" w:type="dxa"/>
          </w:tcPr>
          <w:p w:rsidR="00EE3A11" w:rsidRPr="002F6A28" w:rsidP="002F6A28" w14:paraId="137F305E" w14:textId="77777777">
            <w:pPr>
              <w:spacing w:before="120" w:after="120"/>
              <w:jc w:val="left"/>
              <w:rPr>
                <w:b/>
              </w:rPr>
            </w:pPr>
            <w:r w:rsidRPr="002F6A28">
              <w:rPr>
                <w:b/>
              </w:rPr>
              <w:t>9.</w:t>
            </w:r>
          </w:p>
        </w:tc>
        <w:tc>
          <w:tcPr>
            <w:tcW w:w="8373" w:type="dxa"/>
          </w:tcPr>
          <w:p w:rsidR="00EE3A11" w:rsidRPr="002F6A28" w:rsidP="008953C4" w14:paraId="116F52F4" w14:textId="77777777">
            <w:pPr>
              <w:spacing w:before="120" w:after="120"/>
            </w:pPr>
            <w:r w:rsidRPr="002F6A28">
              <w:rPr>
                <w:b/>
              </w:rPr>
              <w:t>Proposed date of adoption:</w:t>
            </w:r>
            <w:r w:rsidRPr="00C379C8">
              <w:t xml:space="preserve"> 2nd quarter 2026</w:t>
            </w:r>
          </w:p>
          <w:p w:rsidR="00EE3A11" w:rsidRPr="002F6A28" w:rsidP="008953C4" w14:paraId="76CE1515" w14:textId="77777777">
            <w:pPr>
              <w:spacing w:after="120"/>
            </w:pPr>
            <w:r w:rsidRPr="002F6A28">
              <w:rPr>
                <w:b/>
              </w:rPr>
              <w:t>Proposed date of entry into force:</w:t>
            </w:r>
            <w:r w:rsidRPr="00C379C8">
              <w:t xml:space="preserve"> </w:t>
            </w:r>
            <w:r w:rsidRPr="00C379C8">
              <w:t>20 days following the publication in the Official Journal of the EU (The provisions shall apply two months after the adoption)</w:t>
            </w:r>
          </w:p>
        </w:tc>
      </w:tr>
      <w:tr w14:paraId="618EAE53" w14:textId="77777777" w:rsidTr="00DB13FE">
        <w:tblPrEx>
          <w:tblW w:w="5000" w:type="pct"/>
          <w:tblLayout w:type="fixed"/>
          <w:tblLook w:val="0000"/>
        </w:tblPrEx>
        <w:tc>
          <w:tcPr>
            <w:tcW w:w="607" w:type="dxa"/>
            <w:tcBorders>
              <w:bottom w:val="double" w:sz="4" w:space="0" w:color="auto"/>
            </w:tcBorders>
          </w:tcPr>
          <w:p w:rsidR="00F85C99" w:rsidRPr="002F6A28" w:rsidP="002F6A28" w14:paraId="6C00405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0B0F4E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FB08E8B" w14:textId="77777777">
            <w:pPr>
              <w:spacing w:before="120" w:after="120"/>
              <w:rPr>
                <w:bCs/>
              </w:rPr>
            </w:pPr>
            <w:r w:rsidRPr="002F6A28">
              <w:rPr>
                <w:b/>
              </w:rPr>
              <w:t>Final date for comments:</w:t>
            </w:r>
            <w:r w:rsidRPr="00C379C8" w:rsidR="00EE3A11">
              <w:t xml:space="preserve"> 30 November 2025</w:t>
            </w:r>
          </w:p>
          <w:p w:rsidR="000C3B6C" w:rsidRPr="00E3324D" w:rsidP="000C3B6C" w14:paraId="33596D06"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8B842D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FE90CC5" w14:textId="77777777">
            <w:r w:rsidRPr="00CE6C29">
              <w:t>European Commission,</w:t>
            </w:r>
          </w:p>
          <w:p w:rsidR="00CE6C29" w:rsidRPr="00CE6C29" w:rsidP="000C3B6C" w14:paraId="4A9BB32A" w14:textId="77777777">
            <w:r w:rsidRPr="00CE6C29">
              <w:t>EU-TBT Enquiry Point,</w:t>
            </w:r>
          </w:p>
          <w:p w:rsidR="00CE6C29" w:rsidRPr="00CE6C29" w:rsidP="000C3B6C" w14:paraId="523524AE" w14:textId="77777777">
            <w:r w:rsidRPr="00CE6C29">
              <w:t>Fax: + (32) 2 299 80 43,</w:t>
            </w:r>
          </w:p>
          <w:p w:rsidR="00CE6C29" w:rsidRPr="00CE6C29" w:rsidP="000C3B6C" w14:paraId="5BCCF98E" w14:textId="77777777">
            <w:pPr>
              <w:spacing w:after="120"/>
            </w:pPr>
            <w:r w:rsidRPr="00CE6C29">
              <w:t xml:space="preserve">E-mail: </w:t>
            </w:r>
            <w:hyperlink r:id="rId6" w:history="1">
              <w:r w:rsidRPr="00CE6C29">
                <w:rPr>
                  <w:color w:val="0000FF"/>
                  <w:u w:val="single"/>
                </w:rPr>
                <w:t>grow-eu-tbt@ec.europa.eu</w:t>
              </w:r>
            </w:hyperlink>
          </w:p>
        </w:tc>
      </w:tr>
    </w:tbl>
    <w:p w:rsidR="00EE3A11" w:rsidRPr="002F6A28" w:rsidP="00887259" w14:paraId="39C29C04"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2E592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68583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8F3FCE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52332B" w14:textId="77777777">
    <w:pPr>
      <w:pStyle w:val="Header"/>
      <w:pBdr>
        <w:bottom w:val="single" w:sz="4" w:space="1" w:color="auto"/>
      </w:pBdr>
      <w:tabs>
        <w:tab w:val="clear" w:pos="4513"/>
        <w:tab w:val="clear" w:pos="9027"/>
      </w:tabs>
      <w:jc w:val="center"/>
    </w:pPr>
    <w:r w:rsidRPr="002F6A28">
      <w:t>tbtSymbol</w:t>
    </w:r>
  </w:p>
  <w:p w:rsidR="009239F7" w:rsidRPr="002F6A28" w:rsidP="009239F7" w14:paraId="3381E498" w14:textId="77777777">
    <w:pPr>
      <w:pStyle w:val="Header"/>
      <w:pBdr>
        <w:bottom w:val="single" w:sz="4" w:space="1" w:color="auto"/>
      </w:pBdr>
      <w:tabs>
        <w:tab w:val="clear" w:pos="4513"/>
        <w:tab w:val="clear" w:pos="9027"/>
      </w:tabs>
      <w:jc w:val="center"/>
    </w:pPr>
  </w:p>
  <w:p w:rsidR="009239F7" w:rsidRPr="002F6A28" w:rsidP="009239F7" w14:paraId="192B6B5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1C0E2E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A168288" w14:textId="77777777">
    <w:pPr>
      <w:pStyle w:val="Header"/>
      <w:pBdr>
        <w:bottom w:val="single" w:sz="4" w:space="1" w:color="auto"/>
      </w:pBdr>
      <w:tabs>
        <w:tab w:val="clear" w:pos="4513"/>
        <w:tab w:val="clear" w:pos="9027"/>
      </w:tabs>
      <w:jc w:val="center"/>
    </w:pPr>
    <w:bookmarkStart w:id="0" w:name="spsSymbolHeader"/>
    <w:r w:rsidRPr="002F6A28">
      <w:t>G/TBT/N/EU/1162</w:t>
    </w:r>
    <w:bookmarkEnd w:id="0"/>
  </w:p>
  <w:p w:rsidR="009239F7" w:rsidRPr="002F6A28" w:rsidP="009239F7" w14:paraId="5C9A8AF9" w14:textId="77777777">
    <w:pPr>
      <w:pStyle w:val="Header"/>
      <w:pBdr>
        <w:bottom w:val="single" w:sz="4" w:space="1" w:color="auto"/>
      </w:pBdr>
      <w:tabs>
        <w:tab w:val="clear" w:pos="4513"/>
        <w:tab w:val="clear" w:pos="9027"/>
      </w:tabs>
      <w:jc w:val="center"/>
    </w:pPr>
  </w:p>
  <w:p w:rsidR="009239F7" w:rsidRPr="002F6A28" w:rsidP="009239F7" w14:paraId="2FD25E0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346F12A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DB027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B3EFA6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A199E4F" w14:textId="77777777">
          <w:pPr>
            <w:jc w:val="right"/>
            <w:rPr>
              <w:b/>
              <w:color w:val="FF0000"/>
              <w:szCs w:val="16"/>
            </w:rPr>
          </w:pPr>
        </w:p>
      </w:tc>
    </w:tr>
    <w:bookmarkEnd w:id="1"/>
    <w:tr w14:paraId="2AEA85F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3FA207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DBC4687" w14:textId="77777777">
          <w:pPr>
            <w:jc w:val="right"/>
            <w:rPr>
              <w:b/>
              <w:szCs w:val="16"/>
            </w:rPr>
          </w:pPr>
        </w:p>
      </w:tc>
    </w:tr>
    <w:tr w14:paraId="6281325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221C47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47B1FD6" w14:textId="77777777">
          <w:pPr>
            <w:jc w:val="right"/>
            <w:rPr>
              <w:b/>
              <w:szCs w:val="16"/>
            </w:rPr>
          </w:pPr>
          <w:bookmarkStart w:id="2" w:name="bmkSymbols"/>
          <w:r w:rsidRPr="002F6A28">
            <w:rPr>
              <w:b/>
              <w:szCs w:val="16"/>
            </w:rPr>
            <w:t>G/TBT/N/EU/1162</w:t>
          </w:r>
          <w:bookmarkEnd w:id="2"/>
        </w:p>
      </w:tc>
    </w:tr>
    <w:tr w14:paraId="733F331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174AC57" w14:textId="77777777"/>
      </w:tc>
      <w:tc>
        <w:tcPr>
          <w:tcW w:w="5448" w:type="dxa"/>
          <w:gridSpan w:val="2"/>
          <w:shd w:val="clear" w:color="auto" w:fill="FFFFFF"/>
          <w:tcMar>
            <w:left w:w="108" w:type="dxa"/>
            <w:right w:w="108" w:type="dxa"/>
          </w:tcMar>
          <w:vAlign w:val="center"/>
        </w:tcPr>
        <w:p w:rsidR="00ED54E0" w:rsidRPr="009239F7" w:rsidP="00B801E9" w14:paraId="440447B1" w14:textId="77777777">
          <w:pPr>
            <w:jc w:val="right"/>
            <w:rPr>
              <w:szCs w:val="16"/>
            </w:rPr>
          </w:pPr>
          <w:bookmarkStart w:id="3" w:name="spsDateDistribution"/>
          <w:bookmarkStart w:id="4" w:name="bmkDate"/>
          <w:r w:rsidRPr="009239F7">
            <w:rPr>
              <w:szCs w:val="16"/>
            </w:rPr>
            <w:t>1 October 2025</w:t>
          </w:r>
          <w:bookmarkEnd w:id="3"/>
          <w:bookmarkEnd w:id="4"/>
        </w:p>
      </w:tc>
    </w:tr>
    <w:tr w14:paraId="0C6268C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A97880A" w14:textId="77777777">
          <w:pPr>
            <w:jc w:val="left"/>
            <w:rPr>
              <w:b/>
            </w:rPr>
          </w:pPr>
          <w:bookmarkStart w:id="5" w:name="bmkSerial"/>
          <w:r>
            <w:rPr>
              <w:b w:val="0"/>
              <w:color w:val="FF0000"/>
            </w:rPr>
            <w:t>(25-6244)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24AD88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53C92B6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65B303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355206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793887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93448122">
    <w:abstractNumId w:val="9"/>
  </w:num>
  <w:num w:numId="2" w16cid:durableId="1424378396">
    <w:abstractNumId w:val="7"/>
  </w:num>
  <w:num w:numId="3" w16cid:durableId="751702372">
    <w:abstractNumId w:val="6"/>
  </w:num>
  <w:num w:numId="4" w16cid:durableId="1813212644">
    <w:abstractNumId w:val="5"/>
  </w:num>
  <w:num w:numId="5" w16cid:durableId="538519673">
    <w:abstractNumId w:val="4"/>
  </w:num>
  <w:num w:numId="6" w16cid:durableId="1834174086">
    <w:abstractNumId w:val="12"/>
  </w:num>
  <w:num w:numId="7" w16cid:durableId="1419445375">
    <w:abstractNumId w:val="11"/>
  </w:num>
  <w:num w:numId="8" w16cid:durableId="665136969">
    <w:abstractNumId w:val="10"/>
  </w:num>
  <w:num w:numId="9" w16cid:durableId="14843913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09437">
    <w:abstractNumId w:val="13"/>
  </w:num>
  <w:num w:numId="11" w16cid:durableId="1239171721">
    <w:abstractNumId w:val="8"/>
  </w:num>
  <w:num w:numId="12" w16cid:durableId="1773011660">
    <w:abstractNumId w:val="3"/>
  </w:num>
  <w:num w:numId="13" w16cid:durableId="196163510">
    <w:abstractNumId w:val="2"/>
  </w:num>
  <w:num w:numId="14" w16cid:durableId="98109747">
    <w:abstractNumId w:val="1"/>
  </w:num>
  <w:num w:numId="15" w16cid:durableId="1800763074">
    <w:abstractNumId w:val="0"/>
  </w:num>
  <w:num w:numId="16" w16cid:durableId="548417351">
    <w:abstractNumId w:val="14"/>
  </w:num>
  <w:num w:numId="17" w16cid:durableId="8409672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EC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C4355"/>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03E65"/>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5702"/>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04FE7"/>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445E"/>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7266E"/>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608B0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legal-content/EN/TXT/?uri=celex%3A32009R1107" TargetMode="External" /><Relationship Id="rId11" Type="http://schemas.openxmlformats.org/officeDocument/2006/relationships/hyperlink" Target="https://eur-lex.europa.eu/legal-content/EN/ALL/?uri=CELEX%3A32013R0283" TargetMode="External" /><Relationship Id="rId12" Type="http://schemas.openxmlformats.org/officeDocument/2006/relationships/hyperlink" Target="https://doi.org/10.2903/j.efsa.2023.8194" TargetMode="External" /><Relationship Id="rId13" Type="http://schemas.openxmlformats.org/officeDocument/2006/relationships/hyperlink" Target="https://doi.org/10.2903/j.efsa.2023.7790" TargetMode="External" /><Relationship Id="rId14" Type="http://schemas.openxmlformats.org/officeDocument/2006/relationships/hyperlink" Target="https://doi.org/10.2903/j.efsa.2023.7989"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5/TBT/EEC/25_06509_00_e.pdf" TargetMode="External" /><Relationship Id="rId9" Type="http://schemas.openxmlformats.org/officeDocument/2006/relationships/hyperlink" Target="https://members.wto.org/crnattachments/2025/TBT/EEC/25_06509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0E64F6EC-2454-4F19-B258-5A66A497AD7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1007</Words>
  <Characters>5743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2025-10-01T07:13:00Z</dcterms:created>
  <dcterms:modified xsi:type="dcterms:W3CDTF">2025-10-01T07:30:00Z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