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0F12226" w14:textId="77777777">
      <w:pPr>
        <w:pStyle w:val="Title"/>
        <w:rPr>
          <w:caps w:val="0"/>
          <w:kern w:val="0"/>
        </w:rPr>
      </w:pPr>
      <w:r w:rsidRPr="002F6A28">
        <w:rPr>
          <w:caps w:val="0"/>
          <w:kern w:val="0"/>
        </w:rPr>
        <w:t>NOTIFICATION</w:t>
      </w:r>
    </w:p>
    <w:p w:rsidR="009239F7" w:rsidRPr="002F6A28" w:rsidP="002F6A28" w14:paraId="2DB7D0E4" w14:textId="77777777">
      <w:pPr>
        <w:jc w:val="center"/>
      </w:pPr>
      <w:r w:rsidRPr="002F6A28">
        <w:t>The following notification is being circulated in accordance with Article 10.6</w:t>
      </w:r>
    </w:p>
    <w:p w:rsidR="009239F7" w:rsidRPr="002F6A28" w:rsidP="002F6A28" w14:paraId="7FD5806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C055AC" w14:textId="77777777" w:rsidTr="00DB13FE">
        <w:tblPrEx>
          <w:tblW w:w="5000" w:type="pct"/>
          <w:tblLayout w:type="fixed"/>
          <w:tblLook w:val="0000"/>
        </w:tblPrEx>
        <w:tc>
          <w:tcPr>
            <w:tcW w:w="607" w:type="dxa"/>
            <w:tcBorders>
              <w:top w:val="double" w:sz="4" w:space="0" w:color="auto"/>
            </w:tcBorders>
          </w:tcPr>
          <w:p w:rsidR="00F85C99" w:rsidRPr="002F6A28" w:rsidP="002F6A28" w14:paraId="3CAD18B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99D7A8"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43F3243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265094E" w14:textId="77777777" w:rsidTr="00DB13FE">
        <w:tblPrEx>
          <w:tblW w:w="5000" w:type="pct"/>
          <w:tblLayout w:type="fixed"/>
          <w:tblLook w:val="0000"/>
        </w:tblPrEx>
        <w:tc>
          <w:tcPr>
            <w:tcW w:w="607" w:type="dxa"/>
          </w:tcPr>
          <w:p w:rsidR="00F85C99" w:rsidRPr="002F6A28" w:rsidP="002F6A28" w14:paraId="2AA39A93" w14:textId="77777777">
            <w:pPr>
              <w:spacing w:before="120" w:after="120"/>
              <w:jc w:val="left"/>
            </w:pPr>
            <w:r w:rsidRPr="002F6A28">
              <w:rPr>
                <w:b/>
              </w:rPr>
              <w:t>2.</w:t>
            </w:r>
          </w:p>
        </w:tc>
        <w:tc>
          <w:tcPr>
            <w:tcW w:w="8373" w:type="dxa"/>
          </w:tcPr>
          <w:p w:rsidR="00F85C99" w:rsidRPr="002F6A28" w:rsidP="000C3B6C" w14:paraId="616DD33D" w14:textId="77777777">
            <w:pPr>
              <w:spacing w:before="120" w:after="120"/>
            </w:pPr>
            <w:r w:rsidRPr="002F6A28">
              <w:rPr>
                <w:b/>
              </w:rPr>
              <w:t>Agency responsible:</w:t>
            </w:r>
            <w:r w:rsidRPr="00C379C8" w:rsidR="00EE3A11">
              <w:t xml:space="preserve"> </w:t>
            </w:r>
          </w:p>
          <w:p w:rsidR="00EE3A11" w:rsidRPr="00C379C8" w:rsidP="000C3B6C" w14:paraId="4D4DC332" w14:textId="77777777">
            <w:r w:rsidRPr="00C379C8">
              <w:t>European Commission</w:t>
            </w:r>
          </w:p>
          <w:p w:rsidR="00EE3A11" w:rsidRPr="00C379C8" w:rsidP="000C3B6C" w14:paraId="3B462E8E" w14:textId="77777777">
            <w:r w:rsidRPr="00C379C8">
              <w:t>EU-TBT Enquiry Point,</w:t>
            </w:r>
          </w:p>
          <w:p w:rsidR="00EE3A11" w:rsidRPr="00C379C8" w:rsidP="000C3B6C" w14:paraId="0E74CBD0" w14:textId="77777777">
            <w:r w:rsidRPr="00C379C8">
              <w:t>Fax: +(32) 2 299 80 43,</w:t>
            </w:r>
          </w:p>
          <w:p w:rsidR="00EE3A11" w:rsidRPr="00C379C8" w:rsidP="000C3B6C" w14:paraId="31BBB651" w14:textId="77777777">
            <w:r w:rsidRPr="00C379C8">
              <w:t xml:space="preserve">E-mail: </w:t>
            </w:r>
            <w:hyperlink r:id="rId5" w:history="1">
              <w:r w:rsidRPr="00C379C8">
                <w:rPr>
                  <w:color w:val="0000FF"/>
                  <w:u w:val="single"/>
                </w:rPr>
                <w:t>grow-eu-tbt@ec.europa.eu</w:t>
              </w:r>
            </w:hyperlink>
          </w:p>
          <w:p w:rsidR="00EE3A11" w:rsidRPr="00C379C8" w:rsidP="000C3B6C" w14:paraId="094E0D68"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465549F3" w14:textId="77777777" w:rsidTr="00DB13FE">
        <w:tblPrEx>
          <w:tblW w:w="5000" w:type="pct"/>
          <w:tblLayout w:type="fixed"/>
          <w:tblLook w:val="0000"/>
        </w:tblPrEx>
        <w:tc>
          <w:tcPr>
            <w:tcW w:w="607" w:type="dxa"/>
          </w:tcPr>
          <w:p w:rsidR="00F85C99" w:rsidRPr="002F6A28" w:rsidP="002F6A28" w14:paraId="4922A37E" w14:textId="77777777">
            <w:pPr>
              <w:spacing w:before="120" w:after="120"/>
              <w:jc w:val="left"/>
              <w:rPr>
                <w:b/>
              </w:rPr>
            </w:pPr>
            <w:r w:rsidRPr="002F6A28">
              <w:rPr>
                <w:b/>
              </w:rPr>
              <w:t>3.</w:t>
            </w:r>
          </w:p>
        </w:tc>
        <w:tc>
          <w:tcPr>
            <w:tcW w:w="8373" w:type="dxa"/>
          </w:tcPr>
          <w:p w:rsidR="00F85C99" w:rsidRPr="0058336F" w:rsidP="002F6A28" w14:paraId="50E6EE6A"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F6E6F35" w14:textId="77777777" w:rsidTr="00DB13FE">
        <w:tblPrEx>
          <w:tblW w:w="5000" w:type="pct"/>
          <w:tblLayout w:type="fixed"/>
          <w:tblLook w:val="0000"/>
        </w:tblPrEx>
        <w:tc>
          <w:tcPr>
            <w:tcW w:w="607" w:type="dxa"/>
          </w:tcPr>
          <w:p w:rsidR="00F85C99" w:rsidRPr="002F6A28" w:rsidP="002F6A28" w14:paraId="5102C944" w14:textId="77777777">
            <w:pPr>
              <w:spacing w:before="120" w:after="120"/>
              <w:jc w:val="left"/>
            </w:pPr>
            <w:r w:rsidRPr="002F6A28">
              <w:rPr>
                <w:b/>
              </w:rPr>
              <w:t>4.</w:t>
            </w:r>
          </w:p>
        </w:tc>
        <w:tc>
          <w:tcPr>
            <w:tcW w:w="8373" w:type="dxa"/>
          </w:tcPr>
          <w:p w:rsidR="00F85C99" w:rsidRPr="002F6A28" w:rsidP="002F6A28" w14:paraId="72F0154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Ammunition and fishing tackle containing lead in concentration ≥ 1% w/w. </w:t>
            </w:r>
          </w:p>
        </w:tc>
      </w:tr>
      <w:tr w14:paraId="6B408342" w14:textId="77777777" w:rsidTr="00DB13FE">
        <w:tblPrEx>
          <w:tblW w:w="5000" w:type="pct"/>
          <w:tblLayout w:type="fixed"/>
          <w:tblLook w:val="0000"/>
        </w:tblPrEx>
        <w:tc>
          <w:tcPr>
            <w:tcW w:w="607" w:type="dxa"/>
          </w:tcPr>
          <w:p w:rsidR="00F85C99" w:rsidRPr="002F6A28" w:rsidP="002F6A28" w14:paraId="4AAD39AB" w14:textId="77777777">
            <w:pPr>
              <w:spacing w:before="120" w:after="120"/>
              <w:jc w:val="left"/>
            </w:pPr>
            <w:r w:rsidRPr="002F6A28">
              <w:rPr>
                <w:b/>
              </w:rPr>
              <w:t>5.</w:t>
            </w:r>
          </w:p>
        </w:tc>
        <w:tc>
          <w:tcPr>
            <w:tcW w:w="8373" w:type="dxa"/>
          </w:tcPr>
          <w:p w:rsidR="00F85C99" w:rsidP="002F6A28" w14:paraId="728A20D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(EU) …/…of XXX amending Annex XVII to Regulation (EC) No 1907/2006 of the European Parliament and of the Council concerning the Registration, Evaluation, Authorisation and Restriction of Chemicals (REACH) as regards lead in ammunition and fishing tackle; (12 page(s), in English), (8 page(s), in English)</w:t>
            </w:r>
          </w:p>
          <w:p w:rsidR="000C3B6C" w:rsidRPr="000C3B6C" w:rsidP="002F6A28" w14:paraId="381BFD5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B0D2F" w:rsidRPr="00CE6C29" w:rsidP="002F6A28" w14:paraId="24D346BB" w14:textId="77777777">
            <w:pPr>
              <w:pBdr>
                <w:top w:val="none" w:sz="0" w:space="4" w:color="auto"/>
              </w:pBdr>
              <w:rPr>
                <w:iCs/>
              </w:rPr>
            </w:pPr>
            <w:hyperlink r:id="rId7" w:tgtFrame="_blank" w:history="1">
              <w:r w:rsidRPr="00CE6C29">
                <w:rPr>
                  <w:iCs/>
                  <w:color w:val="0000FF"/>
                  <w:u w:val="single"/>
                </w:rPr>
                <w:t>https://members.wto.org/crnattachments/2025/TBT/EEC/25_06122_00_e.pdf</w:t>
              </w:r>
            </w:hyperlink>
          </w:p>
          <w:p w:rsidR="007B0D2F" w:rsidRPr="00CE6C29" w:rsidP="002F6A28" w14:paraId="584D3006" w14:textId="77777777">
            <w:pPr>
              <w:pBdr>
                <w:bottom w:val="none" w:sz="0" w:space="4" w:color="auto"/>
              </w:pBdr>
              <w:rPr>
                <w:iCs/>
              </w:rPr>
            </w:pPr>
            <w:hyperlink r:id="rId8" w:tgtFrame="_blank" w:history="1">
              <w:r w:rsidRPr="00CE6C29">
                <w:rPr>
                  <w:iCs/>
                  <w:color w:val="0000FF"/>
                  <w:u w:val="single"/>
                </w:rPr>
                <w:t>https://members.wto.org/crnattachments/2025/TBT/EEC/25_06122_01_e.pdf</w:t>
              </w:r>
            </w:hyperlink>
          </w:p>
          <w:p w:rsidR="007B0D2F" w:rsidRPr="00CE6C29" w:rsidP="002F6A28" w14:paraId="243849F2" w14:textId="77777777">
            <w:pPr>
              <w:rPr>
                <w:iCs/>
              </w:rPr>
            </w:pPr>
            <w:r w:rsidRPr="00CE6C29">
              <w:rPr>
                <w:iCs/>
              </w:rPr>
              <w:t>European Commission</w:t>
            </w:r>
          </w:p>
          <w:p w:rsidR="007B0D2F" w:rsidRPr="00CE6C29" w:rsidP="002F6A28" w14:paraId="1E7994BE" w14:textId="77777777">
            <w:pPr>
              <w:rPr>
                <w:iCs/>
              </w:rPr>
            </w:pPr>
            <w:r w:rsidRPr="00CE6C29">
              <w:rPr>
                <w:iCs/>
              </w:rPr>
              <w:t>EU-TBT Enquiry Point</w:t>
            </w:r>
          </w:p>
          <w:p w:rsidR="007B0D2F" w:rsidRPr="00CE6C29" w:rsidP="002F6A28" w14:paraId="394C0FF8" w14:textId="77777777">
            <w:pPr>
              <w:rPr>
                <w:iCs/>
              </w:rPr>
            </w:pPr>
            <w:r w:rsidRPr="00CE6C29">
              <w:rPr>
                <w:iCs/>
              </w:rPr>
              <w:t>Fax: + (32) 2 299 80 43</w:t>
            </w:r>
          </w:p>
          <w:p w:rsidR="007B0D2F" w:rsidRPr="00CE6C29" w:rsidP="002F6A28" w14:paraId="360D79DB" w14:textId="77777777">
            <w:pPr>
              <w:rPr>
                <w:iCs/>
              </w:rPr>
            </w:pPr>
            <w:r w:rsidRPr="00CE6C29">
              <w:rPr>
                <w:iCs/>
              </w:rPr>
              <w:t xml:space="preserve">E-mail: </w:t>
            </w:r>
            <w:hyperlink r:id="rId5" w:history="1">
              <w:r w:rsidRPr="00CE6C29">
                <w:rPr>
                  <w:iCs/>
                  <w:color w:val="0000FF"/>
                  <w:u w:val="single"/>
                </w:rPr>
                <w:t>grow-eu-tbt@ec.europa.eu</w:t>
              </w:r>
            </w:hyperlink>
          </w:p>
          <w:p w:rsidR="007B0D2F" w:rsidRPr="00CE6C29" w:rsidP="002F6A28" w14:paraId="3E089B74"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506085A6" w14:textId="77777777" w:rsidTr="00DB13FE">
        <w:tblPrEx>
          <w:tblW w:w="5000" w:type="pct"/>
          <w:tblLayout w:type="fixed"/>
          <w:tblLook w:val="0000"/>
        </w:tblPrEx>
        <w:tc>
          <w:tcPr>
            <w:tcW w:w="607" w:type="dxa"/>
          </w:tcPr>
          <w:p w:rsidR="00F85C99" w:rsidRPr="002F6A28" w:rsidP="002F6A28" w14:paraId="24F87E2E" w14:textId="77777777">
            <w:pPr>
              <w:spacing w:before="120" w:after="120"/>
              <w:jc w:val="left"/>
              <w:rPr>
                <w:b/>
              </w:rPr>
            </w:pPr>
            <w:r w:rsidRPr="002F6A28">
              <w:rPr>
                <w:b/>
              </w:rPr>
              <w:t>6.</w:t>
            </w:r>
          </w:p>
        </w:tc>
        <w:tc>
          <w:tcPr>
            <w:tcW w:w="8373" w:type="dxa"/>
          </w:tcPr>
          <w:p w:rsidR="00F85C99" w:rsidRPr="002F6A28" w:rsidP="002F6A28" w14:paraId="6C0D6048" w14:textId="77777777">
            <w:pPr>
              <w:spacing w:before="120" w:after="120"/>
              <w:rPr>
                <w:b/>
              </w:rPr>
            </w:pPr>
            <w:r w:rsidRPr="002F6A28">
              <w:rPr>
                <w:b/>
              </w:rPr>
              <w:t>Description of content:</w:t>
            </w:r>
            <w:r w:rsidRPr="00C379C8" w:rsidR="00FE448B">
              <w:t xml:space="preserve"> This draft Regulation intends to introduce a new entry to Annex XVII to Regulation (EC) No 1907/2006. It intends to restrict the use and, in certain cases, the placing on the market of ammunition and fishing tackle containing lead in a concentration equal to or greater than 1% by weight. It provides for several derogations, including for sports shooting in shooting ranges (conditional to the installation of measures for lead containment and recovery, for ranges where lead gunshot is used) or for uses that pose a limited risk to the environment or where suitable alternatives are not available (e.g. historical firearms, traditional marksmen festivals, bullets and lures containing copper or copper alloys, split shot, etc.). </w:t>
            </w:r>
          </w:p>
          <w:p w:rsidR="00FE448B" w:rsidRPr="00C379C8" w:rsidP="002F6A28" w14:paraId="5833A57D" w14:textId="77777777">
            <w:pPr>
              <w:spacing w:before="120" w:after="120"/>
            </w:pPr>
            <w:r w:rsidRPr="00C379C8">
              <w:t>The application of the proposed Regulation is deferred for most of the uses and sectors concerned, in order to allow stakeholders sufficient time to comply with the new measures and transition to suitable alternatives. The proposed transitional periods range between 6 months (e.g. drop-in sinkers and fishing wires) and 10 years (e.g. centrefire bullets of calibre &lt; 5.6 mm and rimfire bullets for hunting). Military and security uses of lead ammunition, as well as indoor uses, are excluded from the scope of t</w:t>
            </w:r>
            <w:r w:rsidRPr="00C379C8">
              <w:t>he restriction.</w:t>
            </w:r>
          </w:p>
        </w:tc>
      </w:tr>
      <w:tr w14:paraId="5D4F593A" w14:textId="77777777" w:rsidTr="00DB13FE">
        <w:tblPrEx>
          <w:tblW w:w="5000" w:type="pct"/>
          <w:tblLayout w:type="fixed"/>
          <w:tblLook w:val="0000"/>
        </w:tblPrEx>
        <w:tc>
          <w:tcPr>
            <w:tcW w:w="607" w:type="dxa"/>
          </w:tcPr>
          <w:p w:rsidR="00F85C99" w:rsidRPr="002F6A28" w:rsidP="002F6A28" w14:paraId="21F417F5" w14:textId="77777777">
            <w:pPr>
              <w:spacing w:before="120" w:after="120"/>
              <w:jc w:val="left"/>
              <w:rPr>
                <w:b/>
              </w:rPr>
            </w:pPr>
            <w:r w:rsidRPr="002F6A28">
              <w:rPr>
                <w:b/>
              </w:rPr>
              <w:t>7.</w:t>
            </w:r>
          </w:p>
        </w:tc>
        <w:tc>
          <w:tcPr>
            <w:tcW w:w="8373" w:type="dxa"/>
          </w:tcPr>
          <w:p w:rsidR="00F85C99" w:rsidRPr="002F6A28" w:rsidP="002F6A28" w14:paraId="2C47E60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155E044B" w14:textId="77777777" w:rsidTr="00DB13FE">
        <w:tblPrEx>
          <w:tblW w:w="5000" w:type="pct"/>
          <w:tblLayout w:type="fixed"/>
          <w:tblLook w:val="0000"/>
        </w:tblPrEx>
        <w:tc>
          <w:tcPr>
            <w:tcW w:w="607" w:type="dxa"/>
          </w:tcPr>
          <w:p w:rsidR="00F85C99" w:rsidRPr="002F6A28" w:rsidP="009E75ED" w14:paraId="481EEDFF" w14:textId="77777777">
            <w:pPr>
              <w:spacing w:before="120" w:after="120"/>
              <w:jc w:val="left"/>
              <w:rPr>
                <w:b/>
              </w:rPr>
            </w:pPr>
            <w:r w:rsidRPr="002F6A28">
              <w:rPr>
                <w:b/>
              </w:rPr>
              <w:t>8.</w:t>
            </w:r>
          </w:p>
        </w:tc>
        <w:tc>
          <w:tcPr>
            <w:tcW w:w="8373" w:type="dxa"/>
          </w:tcPr>
          <w:p w:rsidR="000C3B6C" w:rsidRPr="00EC00D2" w:rsidP="007F13E8" w14:paraId="659D2700" w14:textId="77777777">
            <w:pPr>
              <w:spacing w:before="120" w:after="120"/>
              <w:rPr>
                <w:bCs/>
              </w:rPr>
            </w:pPr>
            <w:r w:rsidRPr="002F6A28">
              <w:rPr>
                <w:b/>
              </w:rPr>
              <w:t>Relevant documents:</w:t>
            </w:r>
            <w:r w:rsidRPr="002F6A28" w:rsidR="00EE3A11">
              <w:t xml:space="preserve"> </w:t>
            </w:r>
          </w:p>
          <w:p w:rsidR="00EE3A11" w:rsidRPr="002F6A28" w:rsidP="007F13E8" w14:paraId="58EE2342" w14:textId="77777777">
            <w:pPr>
              <w:spacing w:before="120" w:after="120"/>
            </w:pPr>
            <w:r w:rsidRPr="002F6A28">
              <w:t>-</w:t>
            </w:r>
            <w:hyperlink r:id="rId9" w:history="1">
              <w:r w:rsidRPr="002F6A28">
                <w:rPr>
                  <w:color w:val="0000FF"/>
                  <w:u w:val="single"/>
                </w:rPr>
                <w:t>Regulation (EC) No 1907/2006 of the European Parliament and of the Council on the Registration, Evaluation, Authorisation and Restriction of Chemicals</w:t>
              </w:r>
            </w:hyperlink>
            <w:r w:rsidRPr="002F6A28">
              <w:t xml:space="preserve"> (REACH Regulation)</w:t>
            </w:r>
          </w:p>
          <w:p w:rsidR="00EE3A11" w:rsidRPr="002F6A28" w:rsidP="007F13E8" w14:paraId="42CB8945" w14:textId="77777777">
            <w:pPr>
              <w:spacing w:before="120" w:after="120"/>
            </w:pPr>
            <w:r w:rsidRPr="002F6A28">
              <w:t>-</w:t>
            </w:r>
            <w:hyperlink r:id="rId10" w:history="1">
              <w:r w:rsidRPr="002F6A28">
                <w:rPr>
                  <w:color w:val="0000FF"/>
                  <w:u w:val="single"/>
                </w:rPr>
                <w:t>Annex XV dossier for restriction and opinions of ECHA Committees</w:t>
              </w:r>
            </w:hyperlink>
          </w:p>
        </w:tc>
      </w:tr>
      <w:tr w14:paraId="499BEFF3" w14:textId="77777777" w:rsidTr="00DB13FE">
        <w:tblPrEx>
          <w:tblW w:w="5000" w:type="pct"/>
          <w:tblLayout w:type="fixed"/>
          <w:tblLook w:val="0000"/>
        </w:tblPrEx>
        <w:tc>
          <w:tcPr>
            <w:tcW w:w="607" w:type="dxa"/>
          </w:tcPr>
          <w:p w:rsidR="00EE3A11" w:rsidRPr="002F6A28" w:rsidP="002F6A28" w14:paraId="52D77E1F" w14:textId="77777777">
            <w:pPr>
              <w:spacing w:before="120" w:after="120"/>
              <w:jc w:val="left"/>
              <w:rPr>
                <w:b/>
              </w:rPr>
            </w:pPr>
            <w:r w:rsidRPr="002F6A28">
              <w:rPr>
                <w:b/>
              </w:rPr>
              <w:t>9.</w:t>
            </w:r>
          </w:p>
        </w:tc>
        <w:tc>
          <w:tcPr>
            <w:tcW w:w="8373" w:type="dxa"/>
          </w:tcPr>
          <w:p w:rsidR="00EE3A11" w:rsidRPr="002F6A28" w:rsidP="008953C4" w14:paraId="300E530A" w14:textId="77777777">
            <w:pPr>
              <w:spacing w:before="120" w:after="120"/>
            </w:pPr>
            <w:r w:rsidRPr="002F6A28">
              <w:rPr>
                <w:b/>
              </w:rPr>
              <w:t>Proposed date of adoption:</w:t>
            </w:r>
            <w:r w:rsidRPr="00C379C8">
              <w:t xml:space="preserve"> Fourth quarter of 2025</w:t>
            </w:r>
          </w:p>
          <w:p w:rsidR="00EE3A11" w:rsidRPr="002F6A28" w:rsidP="008953C4" w14:paraId="30947010" w14:textId="77777777">
            <w:pPr>
              <w:spacing w:after="120"/>
            </w:pPr>
            <w:r w:rsidRPr="002F6A28">
              <w:rPr>
                <w:b/>
              </w:rPr>
              <w:t>Proposed date of entry into force:</w:t>
            </w:r>
            <w:r w:rsidRPr="00C379C8">
              <w:t xml:space="preserve"> 20 days from publication in the Official Journal of the EU. The application of the ban on use or placing on the market would be deferred between 6 months and 10 years, depending on the product concerned</w:t>
            </w:r>
          </w:p>
        </w:tc>
      </w:tr>
      <w:tr w14:paraId="6CAC4945" w14:textId="77777777" w:rsidTr="00DB13FE">
        <w:tblPrEx>
          <w:tblW w:w="5000" w:type="pct"/>
          <w:tblLayout w:type="fixed"/>
          <w:tblLook w:val="0000"/>
        </w:tblPrEx>
        <w:tc>
          <w:tcPr>
            <w:tcW w:w="607" w:type="dxa"/>
            <w:tcBorders>
              <w:bottom w:val="double" w:sz="4" w:space="0" w:color="auto"/>
            </w:tcBorders>
          </w:tcPr>
          <w:p w:rsidR="00F85C99" w:rsidRPr="002F6A28" w:rsidP="002F6A28" w14:paraId="7E512AD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AE4A99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149A2C1" w14:textId="77777777">
            <w:pPr>
              <w:spacing w:before="120" w:after="120"/>
              <w:rPr>
                <w:bCs/>
              </w:rPr>
            </w:pPr>
            <w:r w:rsidRPr="002F6A28">
              <w:rPr>
                <w:b/>
              </w:rPr>
              <w:t>Final date for comments:</w:t>
            </w:r>
            <w:r w:rsidRPr="00C379C8" w:rsidR="00EE3A11">
              <w:t xml:space="preserve"> 16 November 2025</w:t>
            </w:r>
          </w:p>
          <w:p w:rsidR="000C3B6C" w:rsidRPr="00E3324D" w:rsidP="000C3B6C" w14:paraId="00F5646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118EC2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4277BE0" w14:textId="77777777">
            <w:r w:rsidRPr="00CE6C29">
              <w:t>European Commission,</w:t>
            </w:r>
          </w:p>
          <w:p w:rsidR="00CE6C29" w:rsidRPr="00CE6C29" w:rsidP="000C3B6C" w14:paraId="49C80F59" w14:textId="77777777">
            <w:r w:rsidRPr="00CE6C29">
              <w:t>EU-TBT Enquiry Point,</w:t>
            </w:r>
          </w:p>
          <w:p w:rsidR="00CE6C29" w:rsidRPr="00CE6C29" w:rsidP="000C3B6C" w14:paraId="1B01B468" w14:textId="77777777">
            <w:r w:rsidRPr="00CE6C29">
              <w:t>Fax: + (32) 2 299 80 43,</w:t>
            </w:r>
          </w:p>
          <w:p w:rsidR="00CE6C29" w:rsidRPr="00CE6C29" w:rsidP="000C3B6C" w14:paraId="2B72C2EA"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2883DA19"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745D2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94664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1769B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ACBCEA" w14:textId="77777777">
    <w:pPr>
      <w:pStyle w:val="Header"/>
      <w:pBdr>
        <w:bottom w:val="single" w:sz="4" w:space="1" w:color="auto"/>
      </w:pBdr>
      <w:tabs>
        <w:tab w:val="clear" w:pos="4513"/>
        <w:tab w:val="clear" w:pos="9027"/>
      </w:tabs>
      <w:jc w:val="center"/>
    </w:pPr>
    <w:r w:rsidRPr="002F6A28">
      <w:t>tbtSymbol</w:t>
    </w:r>
  </w:p>
  <w:p w:rsidR="009239F7" w:rsidRPr="002F6A28" w:rsidP="009239F7" w14:paraId="58D82C6E" w14:textId="77777777">
    <w:pPr>
      <w:pStyle w:val="Header"/>
      <w:pBdr>
        <w:bottom w:val="single" w:sz="4" w:space="1" w:color="auto"/>
      </w:pBdr>
      <w:tabs>
        <w:tab w:val="clear" w:pos="4513"/>
        <w:tab w:val="clear" w:pos="9027"/>
      </w:tabs>
      <w:jc w:val="center"/>
    </w:pPr>
  </w:p>
  <w:p w:rsidR="009239F7" w:rsidRPr="002F6A28" w:rsidP="009239F7" w14:paraId="782D66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C153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3B3450" w14:textId="77777777">
    <w:pPr>
      <w:pStyle w:val="Header"/>
      <w:pBdr>
        <w:bottom w:val="single" w:sz="4" w:space="1" w:color="auto"/>
      </w:pBdr>
      <w:tabs>
        <w:tab w:val="clear" w:pos="4513"/>
        <w:tab w:val="clear" w:pos="9027"/>
      </w:tabs>
      <w:jc w:val="center"/>
    </w:pPr>
    <w:bookmarkStart w:id="0" w:name="spsSymbolHeader"/>
    <w:r w:rsidRPr="002F6A28">
      <w:t>G/TBT/N/EU/1156</w:t>
    </w:r>
    <w:bookmarkEnd w:id="0"/>
  </w:p>
  <w:p w:rsidR="009239F7" w:rsidRPr="002F6A28" w:rsidP="009239F7" w14:paraId="5352A330" w14:textId="77777777">
    <w:pPr>
      <w:pStyle w:val="Header"/>
      <w:pBdr>
        <w:bottom w:val="single" w:sz="4" w:space="1" w:color="auto"/>
      </w:pBdr>
      <w:tabs>
        <w:tab w:val="clear" w:pos="4513"/>
        <w:tab w:val="clear" w:pos="9027"/>
      </w:tabs>
      <w:jc w:val="center"/>
    </w:pPr>
  </w:p>
  <w:p w:rsidR="009239F7" w:rsidRPr="002F6A28" w:rsidP="009239F7" w14:paraId="244B3A8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10EC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DF5DC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DD67E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E83FAA" w14:textId="77777777">
          <w:pPr>
            <w:jc w:val="right"/>
            <w:rPr>
              <w:b/>
              <w:color w:val="FF0000"/>
              <w:szCs w:val="16"/>
            </w:rPr>
          </w:pPr>
        </w:p>
      </w:tc>
    </w:tr>
    <w:bookmarkEnd w:id="1"/>
    <w:tr w14:paraId="3EC0829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1DB9C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F6C7490" w14:textId="77777777">
          <w:pPr>
            <w:jc w:val="right"/>
            <w:rPr>
              <w:b/>
              <w:szCs w:val="16"/>
            </w:rPr>
          </w:pPr>
        </w:p>
      </w:tc>
    </w:tr>
    <w:tr w14:paraId="1E42644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5DCEB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D10F3C" w14:textId="77777777">
          <w:pPr>
            <w:jc w:val="right"/>
            <w:rPr>
              <w:b/>
              <w:szCs w:val="16"/>
            </w:rPr>
          </w:pPr>
          <w:bookmarkStart w:id="2" w:name="bmkSymbols"/>
          <w:r w:rsidRPr="002F6A28">
            <w:rPr>
              <w:b/>
              <w:szCs w:val="16"/>
            </w:rPr>
            <w:t>G/TBT/N/EU/1156</w:t>
          </w:r>
          <w:bookmarkEnd w:id="2"/>
        </w:p>
      </w:tc>
    </w:tr>
    <w:tr w14:paraId="365A980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0D34BB" w14:textId="77777777"/>
      </w:tc>
      <w:tc>
        <w:tcPr>
          <w:tcW w:w="5448" w:type="dxa"/>
          <w:gridSpan w:val="2"/>
          <w:shd w:val="clear" w:color="auto" w:fill="FFFFFF"/>
          <w:tcMar>
            <w:left w:w="108" w:type="dxa"/>
            <w:right w:w="108" w:type="dxa"/>
          </w:tcMar>
          <w:vAlign w:val="center"/>
        </w:tcPr>
        <w:p w:rsidR="00ED54E0" w:rsidRPr="009239F7" w:rsidP="00B801E9" w14:paraId="39ACD455" w14:textId="77777777">
          <w:pPr>
            <w:jc w:val="right"/>
            <w:rPr>
              <w:szCs w:val="16"/>
            </w:rPr>
          </w:pPr>
          <w:bookmarkStart w:id="3" w:name="spsDateDistribution"/>
          <w:bookmarkStart w:id="4" w:name="bmkDate"/>
          <w:r w:rsidRPr="009239F7">
            <w:rPr>
              <w:szCs w:val="16"/>
            </w:rPr>
            <w:t>17 September 2025</w:t>
          </w:r>
          <w:bookmarkEnd w:id="3"/>
          <w:bookmarkEnd w:id="4"/>
        </w:p>
      </w:tc>
    </w:tr>
    <w:tr w14:paraId="5DBEB9E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86DB2C" w14:textId="77777777">
          <w:pPr>
            <w:jc w:val="left"/>
            <w:rPr>
              <w:b/>
            </w:rPr>
          </w:pPr>
          <w:bookmarkStart w:id="5" w:name="bmkSerial"/>
          <w:r>
            <w:rPr>
              <w:b w:val="0"/>
              <w:color w:val="FF0000"/>
            </w:rPr>
            <w:t>(25-5791)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92FB4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0E9EC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8EE5DA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8AE8B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AEF15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3498024">
    <w:abstractNumId w:val="9"/>
  </w:num>
  <w:num w:numId="2" w16cid:durableId="737746835">
    <w:abstractNumId w:val="7"/>
  </w:num>
  <w:num w:numId="3" w16cid:durableId="87627622">
    <w:abstractNumId w:val="6"/>
  </w:num>
  <w:num w:numId="4" w16cid:durableId="353926371">
    <w:abstractNumId w:val="5"/>
  </w:num>
  <w:num w:numId="5" w16cid:durableId="1849369498">
    <w:abstractNumId w:val="4"/>
  </w:num>
  <w:num w:numId="6" w16cid:durableId="2013486167">
    <w:abstractNumId w:val="12"/>
  </w:num>
  <w:num w:numId="7" w16cid:durableId="516769998">
    <w:abstractNumId w:val="11"/>
  </w:num>
  <w:num w:numId="8" w16cid:durableId="87584568">
    <w:abstractNumId w:val="10"/>
  </w:num>
  <w:num w:numId="9" w16cid:durableId="617762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8327708">
    <w:abstractNumId w:val="13"/>
  </w:num>
  <w:num w:numId="11" w16cid:durableId="1670792925">
    <w:abstractNumId w:val="8"/>
  </w:num>
  <w:num w:numId="12" w16cid:durableId="2000186338">
    <w:abstractNumId w:val="3"/>
  </w:num>
  <w:num w:numId="13" w16cid:durableId="365719984">
    <w:abstractNumId w:val="2"/>
  </w:num>
  <w:num w:numId="14" w16cid:durableId="704138047">
    <w:abstractNumId w:val="1"/>
  </w:num>
  <w:num w:numId="15" w16cid:durableId="485902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0D2F"/>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1CCE"/>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57C5"/>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01211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cha.europa.eu/fr/registry-of-restriction-intentions/-/dislist/details/0b0236e1840159e6"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5/TBT/EEC/25_06122_00_e.pdf" TargetMode="External" /><Relationship Id="rId8" Type="http://schemas.openxmlformats.org/officeDocument/2006/relationships/hyperlink" Target="https://members.wto.org/crnattachments/2025/TBT/EEC/25_06122_01_e.pdf" TargetMode="External" /><Relationship Id="rId9" Type="http://schemas.openxmlformats.org/officeDocument/2006/relationships/hyperlink" Target="https://eur-lex.europa.eu/legal-content/EN/TXT/?uri=CELEX%3A02006R1907-2024060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2025-09-17T13:10:00Z</dcterms:created>
  <dcterms:modified xsi:type="dcterms:W3CDTF">2025-09-17T13:10:00Z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