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879E9E1" w14:textId="77777777">
      <w:pPr>
        <w:pStyle w:val="Title"/>
      </w:pPr>
      <w:r w:rsidRPr="00EF68C9">
        <w:t>NOTIFICACIÓN</w:t>
      </w:r>
    </w:p>
    <w:p w:rsidR="002F663C" w:rsidRPr="00EF68C9" w:rsidP="00D31A79" w14:paraId="780E5C1D" w14:textId="77777777">
      <w:pPr>
        <w:pStyle w:val="Title3"/>
      </w:pPr>
      <w:r w:rsidRPr="00EF68C9">
        <w:t>Addendum</w:t>
      </w:r>
    </w:p>
    <w:p w:rsidR="002F663C" w:rsidP="00B22706" w14:paraId="59F0BCA5" w14:textId="77777777">
      <w:r w:rsidRPr="00EF68C9">
        <w:t>La siguiente comunicación, de fecha 16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0381E661" w14:textId="77777777">
      <w:pPr>
        <w:rPr>
          <w:rFonts w:eastAsia="Calibri" w:cs="Times New Roman"/>
        </w:rPr>
      </w:pPr>
    </w:p>
    <w:p w:rsidR="002F663C" w:rsidRPr="00EF68C9" w:rsidP="00EF68C9" w14:paraId="296FC1F3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3F704F49" w14:textId="77777777"/>
    <w:p w:rsidR="00B22706" w:rsidRPr="00EF68C9" w:rsidP="00EF68C9" w14:paraId="529E6C59" w14:textId="77777777"/>
    <w:p w:rsidR="002F663C" w:rsidRPr="00EF68C9" w:rsidP="00EF68C9" w14:paraId="22AF8174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PROY-NOM-051-SCFI/SSA1-2009, Especificaciones generales de etiquetado para alimentos y bebidas no alcohólicas preenvasados-Información comercial y sanitaria (17 páginas, en Español).</w:t>
      </w:r>
    </w:p>
    <w:p w:rsidR="002F663C" w:rsidRPr="00EF68C9" w:rsidP="00EF68C9" w14:paraId="420600EE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7109B20B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7B5E705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4BC644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C003F6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508DA33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275BF48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A5FE1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B4A2AE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5669D6B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DC16D8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093EFF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074135A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55EC0E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F1A83D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7B7F53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6BB46AB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036EAB8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4D02FC1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746691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633B513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75A81A3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543D46D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68DA9B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03B5980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6895C1E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230E655E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4DD454B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5C3C94C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554C778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7A538B2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720F6137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53115E69" w14:textId="77777777">
            <w:pPr>
              <w:spacing w:before="120" w:after="120"/>
            </w:pPr>
            <w:r>
              <w:t>Acuerdo por el que se amplía el plazo de la segunda fase y se actualiza el inicio de la tercera fase establecidas en el Transitorio Segundo de la Modificación a la Norma Oficial Mexicana NOM-051-SCFI/SSA1-2010, Especificaciones generales de etiquetado para alimentos y bebidas no alcohólicas preenvasados-Información comercial y sanitaria, publicada el 5 de abril de 2010, publicada el 27 de marzo de 2020.</w:t>
            </w:r>
          </w:p>
          <w:p w:rsidR="00C838A8" w:rsidP="00444BD5" w14:paraId="5C5FBD7B" w14:textId="77777777">
            <w:pPr>
              <w:spacing w:before="120" w:after="120"/>
            </w:pPr>
            <w:hyperlink r:id="rId7" w:anchor="gsc.tab=0" w:tgtFrame="_blank" w:history="1">
              <w:r>
                <w:rPr>
                  <w:color w:val="0000FF"/>
                  <w:u w:val="single"/>
                </w:rPr>
                <w:t>https://www.dof.gob.mx/nota_detalle.php?codigo=5764197&amp;fecha=31/07/2025#gsc.tab=0</w:t>
              </w:r>
            </w:hyperlink>
          </w:p>
          <w:p w:rsidR="00C838A8" w:rsidP="00444BD5" w14:paraId="5FF501A1" w14:textId="77777777">
            <w:pPr>
              <w:spacing w:before="120" w:after="120"/>
            </w:pPr>
            <w:hyperlink r:id="rId8" w:tgtFrame="_blank" w:history="1">
              <w:r>
                <w:rPr>
                  <w:color w:val="0000FF"/>
                  <w:u w:val="single"/>
                </w:rPr>
                <w:t>https://members.wto.org/crnattachments/2025/TBT/MEX/25_06069_00_s.pdf</w:t>
              </w:r>
            </w:hyperlink>
          </w:p>
        </w:tc>
      </w:tr>
    </w:tbl>
    <w:p w:rsidR="002F663C" w:rsidRPr="00EF68C9" w:rsidP="00EF68C9" w14:paraId="71930B93" w14:textId="77777777"/>
    <w:p w:rsidR="003918E9" w:rsidRPr="00F95856" w:rsidP="00B03883" w14:paraId="312FFED0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amplía el plazo de la segunda fase y se actualiza el inicio de la tercera establecidas en el Transitorio Segundo de la Modificación a la Norma Oficial Mexicana NOM-051-SCFI/SSA1-2010, </w:t>
      </w:r>
      <w:r w:rsidRPr="00EF68C9" w:rsidR="00EF68C9">
        <w:t>Especificaciones generales de etiquetado para alimentos y bebidas no alcohólicas preenvasados-Información comercial y sanitaria, publicada el 5 de abril de 2010, publicada el 27 de marzo de 2020; para quedar como sigue:</w:t>
      </w:r>
    </w:p>
    <w:p w:rsidR="00EF68C9" w:rsidRPr="00EF68C9" w:rsidP="00B03883" w14:paraId="194F4782" w14:textId="77777777">
      <w:pPr>
        <w:spacing w:before="120" w:after="120"/>
      </w:pPr>
      <w:r w:rsidRPr="00EF68C9">
        <w:rPr>
          <w:i/>
          <w:iCs/>
        </w:rPr>
        <w:t>SEGUNDO.</w:t>
      </w:r>
      <w:r w:rsidRPr="00EF68C9">
        <w:t xml:space="preserve"> Para el cálculo y evaluación de los valores y perfiles referentes a la información nutrimental complementaria se establecerán progresivamente TRES FASES distintas, la última de las cuales se verificará a partir del </w:t>
      </w:r>
      <w:r w:rsidRPr="00EF68C9">
        <w:rPr>
          <w:i/>
          <w:iCs/>
        </w:rPr>
        <w:t>1 de enero del año 2028</w:t>
      </w:r>
      <w:r w:rsidRPr="00EF68C9">
        <w:t>, a saber:</w:t>
      </w:r>
    </w:p>
    <w:p w:rsidR="00EF68C9" w:rsidRPr="00EF68C9" w:rsidP="00B03883" w14:paraId="117706D1" w14:textId="77777777">
      <w:pPr>
        <w:spacing w:before="120" w:after="120"/>
      </w:pPr>
      <w:r w:rsidRPr="00EF68C9">
        <w:rPr>
          <w:i/>
          <w:iCs/>
        </w:rPr>
        <w:t>PRIMERA FASE. ...</w:t>
      </w:r>
    </w:p>
    <w:p w:rsidR="00EF68C9" w:rsidRPr="00EF68C9" w:rsidP="00B03883" w14:paraId="1E4D496F" w14:textId="77777777">
      <w:pPr>
        <w:spacing w:before="120" w:after="120"/>
      </w:pPr>
      <w:r w:rsidRPr="00EF68C9">
        <w:rPr>
          <w:i/>
          <w:iCs/>
        </w:rPr>
        <w:t>SEGUNDA FASE.</w:t>
      </w:r>
      <w:r w:rsidRPr="00EF68C9">
        <w:rPr>
          <w:b/>
          <w:bCs/>
        </w:rPr>
        <w:t xml:space="preserve"> </w:t>
      </w:r>
      <w:r w:rsidRPr="00EF68C9">
        <w:t xml:space="preserve">Del </w:t>
      </w:r>
      <w:r w:rsidRPr="00EF68C9">
        <w:rPr>
          <w:i/>
          <w:iCs/>
        </w:rPr>
        <w:t>1 de octubre de 2023 al 31 de diciembre de 2027 (4 AÑOS y 3 MESES),</w:t>
      </w:r>
      <w:r w:rsidRPr="00EF68C9">
        <w:t xml:space="preserve"> el cálculo y evaluación de la información nutrimental complementaria se realizará con los siguientes criterios y valores:</w:t>
      </w:r>
    </w:p>
    <w:p w:rsidR="00EF68C9" w:rsidRPr="00EF68C9" w:rsidP="00B03883" w14:paraId="1606E212" w14:textId="77777777">
      <w:pPr>
        <w:spacing w:before="120" w:after="120"/>
      </w:pPr>
      <w:r w:rsidRPr="00EF68C9">
        <w:rPr>
          <w:i/>
          <w:iCs/>
        </w:rPr>
        <w:t>1.</w:t>
      </w:r>
      <w:r w:rsidRPr="00EF68C9">
        <w:rPr>
          <w:b/>
          <w:bCs/>
        </w:rPr>
        <w:t xml:space="preserve"> </w:t>
      </w:r>
      <w:r w:rsidRPr="00EF68C9">
        <w:t>y</w:t>
      </w:r>
      <w:r w:rsidRPr="00EF68C9">
        <w:rPr>
          <w:b/>
          <w:bCs/>
        </w:rPr>
        <w:t xml:space="preserve"> </w:t>
      </w:r>
      <w:r w:rsidRPr="00EF68C9">
        <w:rPr>
          <w:i/>
          <w:iCs/>
        </w:rPr>
        <w:t>2.</w:t>
      </w:r>
      <w:r w:rsidRPr="00EF68C9">
        <w:rPr>
          <w:b/>
          <w:bCs/>
        </w:rPr>
        <w:t xml:space="preserve"> ...</w:t>
      </w:r>
    </w:p>
    <w:p w:rsidR="00EF68C9" w:rsidRPr="00EF68C9" w:rsidP="00B03883" w14:paraId="211B8F9A" w14:textId="77777777">
      <w:pPr>
        <w:spacing w:before="120" w:after="120"/>
      </w:pPr>
      <w:r w:rsidRPr="00EF68C9">
        <w:t>...</w:t>
      </w:r>
    </w:p>
    <w:p w:rsidR="00EF68C9" w:rsidRPr="00EF68C9" w:rsidP="00B03883" w14:paraId="3960D03A" w14:textId="77777777">
      <w:pPr>
        <w:spacing w:before="120" w:after="120"/>
      </w:pPr>
      <w:r w:rsidRPr="00EF68C9">
        <w:rPr>
          <w:i/>
          <w:iCs/>
        </w:rPr>
        <w:t>TERCERA FASE.</w:t>
      </w:r>
      <w:r w:rsidRPr="00EF68C9">
        <w:t xml:space="preserve"> A partir del </w:t>
      </w:r>
      <w:r w:rsidRPr="00EF68C9">
        <w:rPr>
          <w:i/>
          <w:iCs/>
        </w:rPr>
        <w:t>1 de enero de 2028</w:t>
      </w:r>
      <w:r w:rsidRPr="00EF68C9">
        <w:t>, el cálculo y evaluación de la información nutrimental complementaria se realizará aplicando íntegramente las disposiciones contenidas en los incisos 4.5.3, así como la Tabla 6 de la modificación a la norma relativa a los Perfiles Nutrimentales.</w:t>
      </w:r>
    </w:p>
    <w:p w:rsidR="00D60927" w:rsidRPr="00B22706" w:rsidP="003918E9" w14:paraId="52210D46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FBB8AC0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7B397EE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6D437BF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0FA2C540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3075297B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3C217C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EFD01F1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7B406120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3F05D4C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G/TBT/N/MEX/178/Add.18</w:t>
    </w:r>
    <w:bookmarkEnd w:id="7"/>
  </w:p>
  <w:p w:rsidR="00470C19" w:rsidP="00583508" w14:paraId="5DBF8D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8B20F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697761B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5F534A86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95EEB59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0CAF3C62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23EB8B29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1E465ECA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87C25CA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39AC3CA4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1F9F2C8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G/TBT/N/MEX/178/Add.18</w:t>
          </w:r>
          <w:bookmarkEnd w:id="16"/>
        </w:p>
      </w:tc>
    </w:tr>
    <w:tr w14:paraId="783B889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0DC27BB2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79100FD0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16 de septiembre de 2025</w:t>
          </w:r>
          <w:bookmarkEnd w:id="17"/>
        </w:p>
      </w:tc>
    </w:tr>
    <w:tr w14:paraId="6CF9032B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1EF3BD3C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(25-5735)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7AF5914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58495D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27FB7D96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760DABCC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4A742B3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349799">
    <w:abstractNumId w:val="9"/>
  </w:num>
  <w:num w:numId="2" w16cid:durableId="1649046503">
    <w:abstractNumId w:val="7"/>
  </w:num>
  <w:num w:numId="3" w16cid:durableId="1979990048">
    <w:abstractNumId w:val="6"/>
  </w:num>
  <w:num w:numId="4" w16cid:durableId="94328542">
    <w:abstractNumId w:val="5"/>
  </w:num>
  <w:num w:numId="5" w16cid:durableId="487212896">
    <w:abstractNumId w:val="4"/>
  </w:num>
  <w:num w:numId="6" w16cid:durableId="2108386724">
    <w:abstractNumId w:val="12"/>
  </w:num>
  <w:num w:numId="7" w16cid:durableId="607201458">
    <w:abstractNumId w:val="11"/>
  </w:num>
  <w:num w:numId="8" w16cid:durableId="1679307283">
    <w:abstractNumId w:val="10"/>
  </w:num>
  <w:num w:numId="9" w16cid:durableId="7834218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7758143">
    <w:abstractNumId w:val="13"/>
  </w:num>
  <w:num w:numId="11" w16cid:durableId="1307079152">
    <w:abstractNumId w:val="8"/>
  </w:num>
  <w:num w:numId="12" w16cid:durableId="1231188524">
    <w:abstractNumId w:val="3"/>
  </w:num>
  <w:num w:numId="13" w16cid:durableId="1246260033">
    <w:abstractNumId w:val="2"/>
  </w:num>
  <w:num w:numId="14" w16cid:durableId="1038430963">
    <w:abstractNumId w:val="1"/>
  </w:num>
  <w:num w:numId="15" w16cid:durableId="1805198686">
    <w:abstractNumId w:val="0"/>
  </w:num>
  <w:num w:numId="16" w16cid:durableId="424880230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2825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A0C00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34BE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4D5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1569B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1C60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D112BB"/>
  <w15:docId w15:val="{559A4503-974B-4F2B-A649-FF46CCD61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dof.gob.mx/nota_detalle.php?codigo=5764197&amp;fecha=31/07/2025" TargetMode="External" /><Relationship Id="rId8" Type="http://schemas.openxmlformats.org/officeDocument/2006/relationships/hyperlink" Target="https://members.wto.org/crnattachments/2025/TBT/MEX/25_06069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61E908-2186-4142-A1B0-6BA0883464B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2025-09-16T08:01:00Z</dcterms:created>
  <dcterms:modified xsi:type="dcterms:W3CDTF">2025-09-16T08:15:00Z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