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7BAB883" w14:textId="77777777">
      <w:pPr>
        <w:pStyle w:val="Title"/>
      </w:pPr>
      <w:r w:rsidRPr="002F663C">
        <w:t>NOTIFICATION</w:t>
      </w:r>
    </w:p>
    <w:p w:rsidR="002F663C" w:rsidRPr="002F663C" w:rsidP="00DD3DD7" w14:paraId="514561F7" w14:textId="77777777">
      <w:pPr>
        <w:pStyle w:val="Title3"/>
      </w:pPr>
      <w:r w:rsidRPr="002F663C">
        <w:t>Addendum</w:t>
      </w:r>
    </w:p>
    <w:p w:rsidR="002F663C" w:rsidP="001E2E4A" w14:paraId="6DCC1B9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15 September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4A4C62E6" w14:textId="77777777">
      <w:pPr>
        <w:rPr>
          <w:rFonts w:eastAsia="Calibri" w:cs="Times New Roman"/>
        </w:rPr>
      </w:pPr>
    </w:p>
    <w:p w:rsidR="002F663C" w:rsidRPr="002F663C" w:rsidP="002F663C" w14:paraId="6F7AFDF9" w14:textId="77777777">
      <w:pPr>
        <w:jc w:val="center"/>
        <w:rPr>
          <w:rFonts w:eastAsia="Calibri" w:cs="Times New Roman"/>
          <w:b/>
        </w:rPr>
      </w:pPr>
      <w:r w:rsidRPr="002F663C">
        <w:rPr>
          <w:rFonts w:eastAsia="Calibri" w:cs="Times New Roman"/>
          <w:b/>
        </w:rPr>
        <w:t>_______________</w:t>
      </w:r>
    </w:p>
    <w:p w:rsidR="002F663C" w:rsidP="002F663C" w14:paraId="5C6E334A" w14:textId="77777777">
      <w:pPr>
        <w:rPr>
          <w:rFonts w:eastAsia="Calibri" w:cs="Times New Roman"/>
        </w:rPr>
      </w:pPr>
    </w:p>
    <w:p w:rsidR="00C14444" w:rsidRPr="002F663C" w:rsidP="002F663C" w14:paraId="0AB28536" w14:textId="77777777">
      <w:pPr>
        <w:rPr>
          <w:rFonts w:eastAsia="Calibri" w:cs="Times New Roman"/>
        </w:rPr>
      </w:pPr>
    </w:p>
    <w:p w:rsidR="002F663C" w:rsidRPr="002F663C" w:rsidP="002F663C" w14:paraId="7DAD2E9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Protection of Public Health Regulations (Food) (Import of dietary supplements by a Proper Importer) 5783-2024</w:t>
      </w:r>
    </w:p>
    <w:p w:rsidR="002F663C" w:rsidRPr="002F663C" w:rsidP="002F663C" w14:paraId="77E1967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EEDCA1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4557EC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BF8D451" w14:textId="77777777" w:rsidTr="00E9471B">
        <w:tblPrEx>
          <w:tblW w:w="9049" w:type="dxa"/>
          <w:tblLayout w:type="fixed"/>
          <w:tblLook w:val="04A0"/>
        </w:tblPrEx>
        <w:tc>
          <w:tcPr>
            <w:tcW w:w="851" w:type="dxa"/>
          </w:tcPr>
          <w:p w:rsidR="002F663C" w:rsidRPr="00711F9C" w:rsidP="00C14444" w14:paraId="036EFC3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3CDDF3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29202E6" w14:textId="77777777" w:rsidTr="00E9471B">
        <w:tblPrEx>
          <w:tblW w:w="9049" w:type="dxa"/>
          <w:tblLayout w:type="fixed"/>
          <w:tblLook w:val="04A0"/>
        </w:tblPrEx>
        <w:tc>
          <w:tcPr>
            <w:tcW w:w="851" w:type="dxa"/>
          </w:tcPr>
          <w:p w:rsidR="002F663C" w:rsidRPr="00711F9C" w:rsidP="00C14444" w14:paraId="33F5D5A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9126AA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70B5F4E" w14:textId="77777777" w:rsidTr="00E9471B">
        <w:tblPrEx>
          <w:tblW w:w="9049" w:type="dxa"/>
          <w:tblLayout w:type="fixed"/>
          <w:tblLook w:val="04A0"/>
        </w:tblPrEx>
        <w:tc>
          <w:tcPr>
            <w:tcW w:w="851" w:type="dxa"/>
          </w:tcPr>
          <w:p w:rsidR="002F663C" w:rsidRPr="00711F9C" w:rsidP="00C14444" w14:paraId="46860BF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F86F25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29 July 2025</w:t>
            </w:r>
          </w:p>
        </w:tc>
      </w:tr>
      <w:tr w14:paraId="5FE3E133" w14:textId="77777777" w:rsidTr="00E9471B">
        <w:tblPrEx>
          <w:tblW w:w="9049" w:type="dxa"/>
          <w:tblLayout w:type="fixed"/>
          <w:tblLook w:val="04A0"/>
        </w:tblPrEx>
        <w:tc>
          <w:tcPr>
            <w:tcW w:w="851" w:type="dxa"/>
          </w:tcPr>
          <w:p w:rsidR="002F663C" w:rsidRPr="00711F9C" w:rsidP="00C14444" w14:paraId="2A53DE3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E7FFA1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p w:rsidR="002F663C" w:rsidRPr="002F663C" w:rsidP="00C14444" w14:paraId="3EAAC4C3" w14:textId="77777777">
            <w:pPr>
              <w:spacing w:before="60" w:after="60"/>
              <w:rPr>
                <w:rFonts w:eastAsia="Calibri" w:cs="Times New Roman"/>
              </w:rPr>
            </w:pPr>
            <w:r w:rsidRPr="002F663C">
              <w:rPr>
                <w:rFonts w:eastAsia="Calibri" w:cs="Times New Roman"/>
              </w:rPr>
              <w:t>1. A registered importer who has an advance approval for the import of a nutritional supplement under Section 64 of the Food Law, which was granted before the commencement of these Regulations, will not be subject to the provisions of these Regulations concerning the nutritional supplement that he imports under the approval until the end of the period of validity of the advance approval for import granted to him.</w:t>
            </w:r>
          </w:p>
          <w:p w:rsidR="002F663C" w:rsidRPr="002F663C" w:rsidP="00C14444" w14:paraId="384B367F" w14:textId="77777777">
            <w:pPr>
              <w:spacing w:before="60" w:after="60"/>
              <w:rPr>
                <w:rFonts w:eastAsia="Calibri" w:cs="Times New Roman"/>
              </w:rPr>
            </w:pPr>
            <w:r w:rsidRPr="002F663C">
              <w:rPr>
                <w:rFonts w:eastAsia="Calibri" w:cs="Times New Roman"/>
              </w:rPr>
              <w:t>2. Within a period of one year from the date of publication of these regulations, a registered importer who applied for prior approval for the import of a nutritional supplement before the publication of these regulations, and has not yet received a prior authorization for import, who has notified the Registrar in an online form submitted through the website, that he chooses to import a particular nutritional supplement not in accordance with these regulations</w:t>
            </w:r>
          </w:p>
          <w:p w:rsidR="002F663C" w:rsidRPr="002F663C" w:rsidP="00C14444" w14:paraId="38766ED1" w14:textId="77777777">
            <w:pPr>
              <w:spacing w:before="60" w:after="60"/>
              <w:rPr>
                <w:rFonts w:eastAsia="Calibri" w:cs="Times New Roman"/>
              </w:rPr>
            </w:pPr>
            <w:r w:rsidRPr="002F663C">
              <w:rPr>
                <w:rFonts w:eastAsia="Calibri" w:cs="Times New Roman"/>
              </w:rPr>
              <w:t>until the date specified in the notification, which is not later than one year from the date of publication of these regulations, these regulations will not apply to the nutritional supplement for which the importer notified as aforesaid by the date specified as aforesaid; a prior approval for import granted under this sub-regulation will remain in force until the end of the period specified therein.</w:t>
            </w:r>
          </w:p>
          <w:p w:rsidR="002F663C" w:rsidRPr="002F663C" w:rsidP="00C14444" w14:paraId="3286291C" w14:textId="77777777">
            <w:pPr>
              <w:spacing w:before="60" w:after="60"/>
              <w:rPr>
                <w:rFonts w:eastAsia="Calibri" w:cs="Times New Roman"/>
              </w:rPr>
            </w:pPr>
            <w:r w:rsidRPr="002F663C">
              <w:rPr>
                <w:rFonts w:eastAsia="Calibri" w:cs="Times New Roman"/>
              </w:rPr>
              <w:t>3. During a period of two years from the date of publication of these Regulations, a registered importer who submitted an application for prior approval for the import of a nutritional supplement before the publication of these Regulations (in this Sub-Regulation - the previous application) and has not yet received initial approval for import, may, after being registered as a qualified importer, attach to the application for prior authorization for import that he submits under these Regulations for that nut</w:t>
            </w:r>
            <w:r w:rsidRPr="002F663C">
              <w:rPr>
                <w:rFonts w:eastAsia="Calibri" w:cs="Times New Roman"/>
              </w:rPr>
              <w:t>ritional supplement, the documents specified in Regulation 4 that were attached to the previous application, provided that no particulars of the details regarding the nutritional supplement as specified in the documents in that Regulation have changed.</w:t>
            </w:r>
          </w:p>
        </w:tc>
      </w:tr>
      <w:tr w14:paraId="12B2C44B" w14:textId="77777777" w:rsidTr="00E9471B">
        <w:tblPrEx>
          <w:tblW w:w="9049" w:type="dxa"/>
          <w:tblLayout w:type="fixed"/>
          <w:tblLook w:val="04A0"/>
        </w:tblPrEx>
        <w:tc>
          <w:tcPr>
            <w:tcW w:w="851" w:type="dxa"/>
          </w:tcPr>
          <w:p w:rsidR="002F663C" w:rsidRPr="00711F9C" w:rsidP="00C14444" w14:paraId="44434D0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4EFB84C"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B7E2DE0"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https://members.wto.org/crnattachments/2025/TBT/ISR/final_measure/25_05993_00_x.pdf</w:t>
              </w:r>
            </w:hyperlink>
          </w:p>
        </w:tc>
      </w:tr>
      <w:tr w14:paraId="223F37B6" w14:textId="77777777" w:rsidTr="00E9471B">
        <w:tblPrEx>
          <w:tblW w:w="9049" w:type="dxa"/>
          <w:tblLayout w:type="fixed"/>
          <w:tblLook w:val="04A0"/>
        </w:tblPrEx>
        <w:tc>
          <w:tcPr>
            <w:tcW w:w="851" w:type="dxa"/>
          </w:tcPr>
          <w:p w:rsidR="002F663C" w:rsidRPr="00711F9C" w:rsidP="00C14444" w14:paraId="6F21238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55CA0F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D97590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F4EFEA1" w14:textId="77777777" w:rsidTr="00E9471B">
        <w:tblPrEx>
          <w:tblW w:w="9049" w:type="dxa"/>
          <w:tblLayout w:type="fixed"/>
          <w:tblLook w:val="04A0"/>
        </w:tblPrEx>
        <w:tc>
          <w:tcPr>
            <w:tcW w:w="851" w:type="dxa"/>
          </w:tcPr>
          <w:p w:rsidR="002F663C" w:rsidRPr="00711F9C" w:rsidP="00C14444" w14:paraId="6E49169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4F5422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FF89A9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1733137" w14:textId="77777777" w:rsidTr="00E9471B">
        <w:tblPrEx>
          <w:tblW w:w="9049" w:type="dxa"/>
          <w:tblLayout w:type="fixed"/>
          <w:tblLook w:val="04A0"/>
        </w:tblPrEx>
        <w:tc>
          <w:tcPr>
            <w:tcW w:w="851" w:type="dxa"/>
          </w:tcPr>
          <w:p w:rsidR="002F663C" w:rsidRPr="00711F9C" w:rsidP="00C14444" w14:paraId="648B185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730AD3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D4CA2BB" w14:textId="77777777" w:rsidTr="00E9471B">
        <w:tblPrEx>
          <w:tblW w:w="9049" w:type="dxa"/>
          <w:tblLayout w:type="fixed"/>
          <w:tblLook w:val="04A0"/>
        </w:tblPrEx>
        <w:tc>
          <w:tcPr>
            <w:tcW w:w="851" w:type="dxa"/>
            <w:tcBorders>
              <w:bottom w:val="double" w:sz="4" w:space="0" w:color="auto"/>
            </w:tcBorders>
          </w:tcPr>
          <w:p w:rsidR="002F663C" w:rsidRPr="00711F9C" w:rsidP="00C14444" w14:paraId="2B33D0F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DE4603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00BBDF8" w14:textId="77777777">
      <w:pPr>
        <w:jc w:val="left"/>
        <w:rPr>
          <w:rFonts w:eastAsia="Calibri" w:cs="Times New Roman"/>
          <w:highlight w:val="yellow"/>
        </w:rPr>
      </w:pPr>
    </w:p>
    <w:p w:rsidR="003971FF" w:rsidRPr="007F6EA2" w:rsidP="00B16ACF" w14:paraId="1D83AB5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Pr>
          <w:rFonts w:eastAsia="Calibri" w:cs="Times New Roman"/>
          <w:szCs w:val="18"/>
        </w:rPr>
        <w:t>-</w:t>
      </w:r>
    </w:p>
    <w:p w:rsidR="006C5A96" w:rsidP="006C5A96" w14:paraId="5F51C136" w14:textId="77777777">
      <w:pPr>
        <w:jc w:val="center"/>
        <w:rPr>
          <w:b/>
        </w:rPr>
      </w:pPr>
      <w:r w:rsidRPr="003971FF">
        <w:rPr>
          <w:b/>
        </w:rPr>
        <w:t>__________</w:t>
      </w:r>
    </w:p>
    <w:p w:rsidR="004D4D19" w:rsidP="007F38C2" w14:paraId="5E6E17D2" w14:textId="77777777">
      <w:pPr>
        <w:jc w:val="center"/>
        <w:rPr>
          <w:b/>
        </w:rPr>
      </w:pPr>
    </w:p>
    <w:p w:rsidR="00A1565D" w:rsidP="003971FF" w14:paraId="4094C003"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A963C8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595F97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DA85858" w14:textId="77777777">
      <w:r>
        <w:separator/>
      </w:r>
    </w:p>
  </w:footnote>
  <w:footnote w:type="continuationSeparator" w:id="1">
    <w:p w:rsidR="004D3A6A" w:rsidP="00ED54E0" w14:paraId="283C54FB" w14:textId="77777777">
      <w:r>
        <w:continuationSeparator/>
      </w:r>
    </w:p>
  </w:footnote>
  <w:footnote w:id="2">
    <w:p w:rsidR="007F6EA2" w14:paraId="5C028B3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4D8CDF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C62238B" w14:textId="77777777">
    <w:pPr>
      <w:pStyle w:val="Header"/>
      <w:pBdr>
        <w:bottom w:val="single" w:sz="4" w:space="1" w:color="auto"/>
      </w:pBdr>
      <w:tabs>
        <w:tab w:val="clear" w:pos="4513"/>
        <w:tab w:val="clear" w:pos="9027"/>
      </w:tabs>
      <w:jc w:val="center"/>
    </w:pPr>
  </w:p>
  <w:p w:rsidR="00DD3DD7" w:rsidRPr="00DD3DD7" w:rsidP="00DD3DD7" w14:paraId="3BFA772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2B9CF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ACF7CF6" w14:textId="77777777">
    <w:pPr>
      <w:pStyle w:val="Header"/>
      <w:pBdr>
        <w:bottom w:val="single" w:sz="4" w:space="1" w:color="auto"/>
      </w:pBdr>
      <w:tabs>
        <w:tab w:val="clear" w:pos="4513"/>
        <w:tab w:val="clear" w:pos="9027"/>
      </w:tabs>
      <w:jc w:val="center"/>
    </w:pPr>
    <w:bookmarkStart w:id="3" w:name="spsSymbolHeader"/>
    <w:r w:rsidRPr="00DD3DD7">
      <w:t>G/TBT/N/</w:t>
    </w:r>
    <w:r w:rsidRPr="00DD3DD7">
      <w:t>ISR</w:t>
    </w:r>
    <w:r w:rsidRPr="00DD3DD7">
      <w:t>/1342/Add.2</w:t>
    </w:r>
    <w:bookmarkEnd w:id="3"/>
  </w:p>
  <w:p w:rsidR="00DD3DD7" w:rsidRPr="00DD3DD7" w:rsidP="00DD3DD7" w14:paraId="44F9BC03" w14:textId="77777777">
    <w:pPr>
      <w:pStyle w:val="Header"/>
      <w:pBdr>
        <w:bottom w:val="single" w:sz="4" w:space="1" w:color="auto"/>
      </w:pBdr>
      <w:tabs>
        <w:tab w:val="clear" w:pos="4513"/>
        <w:tab w:val="clear" w:pos="9027"/>
      </w:tabs>
      <w:jc w:val="center"/>
    </w:pPr>
  </w:p>
  <w:p w:rsidR="00DD3DD7" w:rsidRPr="00DD3DD7" w:rsidP="00DD3DD7" w14:paraId="3BAEA65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6303C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FC8CE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4B6645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4354749" w14:textId="77777777">
          <w:pPr>
            <w:jc w:val="right"/>
            <w:rPr>
              <w:b/>
              <w:color w:val="FF0000"/>
              <w:szCs w:val="16"/>
            </w:rPr>
          </w:pPr>
          <w:r>
            <w:rPr>
              <w:b/>
              <w:color w:val="FF0000"/>
              <w:szCs w:val="16"/>
            </w:rPr>
            <w:t xml:space="preserve"> </w:t>
          </w:r>
        </w:p>
      </w:tc>
    </w:tr>
    <w:tr w14:paraId="27F09F7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5B5EAB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EFA0077" w14:textId="77777777">
          <w:pPr>
            <w:jc w:val="right"/>
            <w:rPr>
              <w:b/>
              <w:szCs w:val="16"/>
            </w:rPr>
          </w:pPr>
        </w:p>
      </w:tc>
    </w:tr>
    <w:tr w14:paraId="4AD47DA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523321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24642C0"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ISR</w:t>
          </w:r>
          <w:r w:rsidRPr="002F663C">
            <w:rPr>
              <w:rFonts w:eastAsia="Calibri" w:cs="Times New Roman"/>
              <w:b/>
              <w:szCs w:val="16"/>
            </w:rPr>
            <w:t>/1342/Add.2</w:t>
          </w:r>
          <w:bookmarkEnd w:id="4"/>
        </w:p>
        <w:p w:rsidR="00C14444" w:rsidRPr="00C14444" w:rsidP="00C14444" w14:paraId="1C7B8CC7" w14:textId="77777777">
          <w:pPr>
            <w:jc w:val="center"/>
            <w:rPr>
              <w:szCs w:val="16"/>
            </w:rPr>
          </w:pPr>
        </w:p>
      </w:tc>
    </w:tr>
    <w:tr w14:paraId="54F897E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4E4E421" w14:textId="77777777"/>
      </w:tc>
      <w:tc>
        <w:tcPr>
          <w:tcW w:w="5448" w:type="dxa"/>
          <w:gridSpan w:val="2"/>
          <w:shd w:val="clear" w:color="auto" w:fill="FFFFFF"/>
          <w:tcMar>
            <w:left w:w="108" w:type="dxa"/>
            <w:right w:w="108" w:type="dxa"/>
          </w:tcMar>
          <w:vAlign w:val="center"/>
        </w:tcPr>
        <w:p w:rsidR="00ED54E0" w:rsidRPr="00182B84" w:rsidP="00425DC5" w14:paraId="6C10A0E0" w14:textId="77777777">
          <w:pPr>
            <w:jc w:val="right"/>
            <w:rPr>
              <w:szCs w:val="16"/>
            </w:rPr>
          </w:pPr>
          <w:bookmarkStart w:id="5" w:name="bmkDate"/>
          <w:r w:rsidRPr="00182B84">
            <w:rPr>
              <w:szCs w:val="16"/>
            </w:rPr>
            <w:t>15 September 2025</w:t>
          </w:r>
          <w:bookmarkEnd w:id="5"/>
        </w:p>
      </w:tc>
    </w:tr>
    <w:tr w14:paraId="2B80DDF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FE758CB" w14:textId="77777777">
          <w:pPr>
            <w:jc w:val="left"/>
            <w:rPr>
              <w:b/>
            </w:rPr>
          </w:pPr>
          <w:bookmarkStart w:id="6" w:name="bmkSerial"/>
          <w:r>
            <w:rPr>
              <w:b w:val="0"/>
              <w:color w:val="FF0000"/>
            </w:rPr>
            <w:t>(25-5706)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9465D9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17B2AB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9CF44F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F95661C"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D22BA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41725648">
    <w:abstractNumId w:val="9"/>
  </w:num>
  <w:num w:numId="2" w16cid:durableId="1841701133">
    <w:abstractNumId w:val="7"/>
  </w:num>
  <w:num w:numId="3" w16cid:durableId="1606811795">
    <w:abstractNumId w:val="6"/>
  </w:num>
  <w:num w:numId="4" w16cid:durableId="1491215849">
    <w:abstractNumId w:val="5"/>
  </w:num>
  <w:num w:numId="5" w16cid:durableId="1267270012">
    <w:abstractNumId w:val="4"/>
  </w:num>
  <w:num w:numId="6" w16cid:durableId="1575041269">
    <w:abstractNumId w:val="12"/>
  </w:num>
  <w:num w:numId="7" w16cid:durableId="2089225275">
    <w:abstractNumId w:val="11"/>
  </w:num>
  <w:num w:numId="8" w16cid:durableId="360208120">
    <w:abstractNumId w:val="10"/>
  </w:num>
  <w:num w:numId="9" w16cid:durableId="339429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5070626">
    <w:abstractNumId w:val="13"/>
  </w:num>
  <w:num w:numId="11" w16cid:durableId="275522230">
    <w:abstractNumId w:val="8"/>
  </w:num>
  <w:num w:numId="12" w16cid:durableId="607737844">
    <w:abstractNumId w:val="3"/>
  </w:num>
  <w:num w:numId="13" w16cid:durableId="1382098068">
    <w:abstractNumId w:val="2"/>
  </w:num>
  <w:num w:numId="14" w16cid:durableId="377055045">
    <w:abstractNumId w:val="1"/>
  </w:num>
  <w:num w:numId="15" w16cid:durableId="43603762">
    <w:abstractNumId w:val="0"/>
  </w:num>
  <w:num w:numId="16" w16cid:durableId="5020848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363E"/>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E77BD"/>
    <w:rsid w:val="000F3D39"/>
    <w:rsid w:val="001120DB"/>
    <w:rsid w:val="0011356B"/>
    <w:rsid w:val="00124403"/>
    <w:rsid w:val="0013337F"/>
    <w:rsid w:val="0013637D"/>
    <w:rsid w:val="001642F0"/>
    <w:rsid w:val="00166639"/>
    <w:rsid w:val="00175DD6"/>
    <w:rsid w:val="00182B84"/>
    <w:rsid w:val="001C2A9D"/>
    <w:rsid w:val="001E291F"/>
    <w:rsid w:val="001E2E4A"/>
    <w:rsid w:val="00223DA8"/>
    <w:rsid w:val="00233408"/>
    <w:rsid w:val="00265A0E"/>
    <w:rsid w:val="0027067B"/>
    <w:rsid w:val="00281997"/>
    <w:rsid w:val="002B2435"/>
    <w:rsid w:val="002B2F95"/>
    <w:rsid w:val="002C6A06"/>
    <w:rsid w:val="002D78C9"/>
    <w:rsid w:val="002F663C"/>
    <w:rsid w:val="00304F14"/>
    <w:rsid w:val="003156C6"/>
    <w:rsid w:val="00327D40"/>
    <w:rsid w:val="00335575"/>
    <w:rsid w:val="003572B4"/>
    <w:rsid w:val="00370A55"/>
    <w:rsid w:val="00381A7D"/>
    <w:rsid w:val="003971FF"/>
    <w:rsid w:val="00397FF5"/>
    <w:rsid w:val="004071EE"/>
    <w:rsid w:val="004244A9"/>
    <w:rsid w:val="00425DC5"/>
    <w:rsid w:val="0044459A"/>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08AA"/>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3CBB224"/>
  <w15:docId w15:val="{CA8F3015-9E1D-4BD0-B6E2-01DCE61B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ISR/final_measure/25_05993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E8591C4-632E-4DCD-ADE4-CDAD483AB5B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2025-09-15T10:46:00Z</dcterms:created>
  <dcterms:modified xsi:type="dcterms:W3CDTF">2025-09-15T11:01:00Z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