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6EC4130" w14:textId="77777777">
      <w:pPr>
        <w:pStyle w:val="Title"/>
        <w:rPr>
          <w:caps w:val="0"/>
          <w:kern w:val="0"/>
        </w:rPr>
      </w:pPr>
      <w:r w:rsidRPr="002F6A28">
        <w:rPr>
          <w:caps w:val="0"/>
          <w:kern w:val="0"/>
        </w:rPr>
        <w:t>NOTIFICATION</w:t>
      </w:r>
    </w:p>
    <w:p w:rsidR="009239F7" w:rsidRPr="002F6A28" w:rsidP="002F6A28" w14:paraId="508D99D1" w14:textId="77777777">
      <w:pPr>
        <w:jc w:val="center"/>
      </w:pPr>
      <w:r w:rsidRPr="002F6A28">
        <w:t>The following notification is being circulated in accordance with Article 10.6</w:t>
      </w:r>
    </w:p>
    <w:p w:rsidR="009239F7" w:rsidRPr="002F6A28" w:rsidP="002F6A28" w14:paraId="6352B66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A4151AA" w14:textId="77777777" w:rsidTr="00DB13FE">
        <w:tblPrEx>
          <w:tblW w:w="5000" w:type="pct"/>
          <w:tblLayout w:type="fixed"/>
          <w:tblLook w:val="0000"/>
        </w:tblPrEx>
        <w:tc>
          <w:tcPr>
            <w:tcW w:w="607" w:type="dxa"/>
            <w:tcBorders>
              <w:top w:val="double" w:sz="4" w:space="0" w:color="auto"/>
            </w:tcBorders>
          </w:tcPr>
          <w:p w:rsidR="00F85C99" w:rsidRPr="002F6A28" w:rsidP="002F6A28" w14:paraId="772D42B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E6585DB"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37CCE38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31C280" w14:textId="77777777" w:rsidTr="00DB13FE">
        <w:tblPrEx>
          <w:tblW w:w="5000" w:type="pct"/>
          <w:tblLayout w:type="fixed"/>
          <w:tblLook w:val="0000"/>
        </w:tblPrEx>
        <w:tc>
          <w:tcPr>
            <w:tcW w:w="607" w:type="dxa"/>
          </w:tcPr>
          <w:p w:rsidR="00F85C99" w:rsidRPr="002F6A28" w:rsidP="002F6A28" w14:paraId="46E6B342" w14:textId="77777777">
            <w:pPr>
              <w:spacing w:before="120" w:after="120"/>
              <w:jc w:val="left"/>
            </w:pPr>
            <w:r w:rsidRPr="002F6A28">
              <w:rPr>
                <w:b/>
              </w:rPr>
              <w:t>2.</w:t>
            </w:r>
          </w:p>
        </w:tc>
        <w:tc>
          <w:tcPr>
            <w:tcW w:w="8373" w:type="dxa"/>
          </w:tcPr>
          <w:p w:rsidR="00F85C99" w:rsidRPr="002F6A28" w:rsidP="000C3B6C" w14:paraId="1B77D647" w14:textId="77777777">
            <w:pPr>
              <w:spacing w:before="120" w:after="120"/>
            </w:pPr>
            <w:r w:rsidRPr="002F6A28">
              <w:rPr>
                <w:b/>
              </w:rPr>
              <w:t>Agency responsible:</w:t>
            </w:r>
            <w:r w:rsidRPr="00C379C8" w:rsidR="00EE3A11">
              <w:t xml:space="preserve"> </w:t>
            </w:r>
          </w:p>
          <w:p w:rsidR="00EE3A11" w:rsidRPr="00C379C8" w:rsidP="000C3B6C" w14:paraId="5F641977" w14:textId="77777777">
            <w:pPr>
              <w:spacing w:after="120"/>
            </w:pPr>
            <w:r w:rsidRPr="00C379C8">
              <w:t>Israel WTO-TBT Enquiry Point</w:t>
            </w:r>
          </w:p>
        </w:tc>
      </w:tr>
      <w:tr w14:paraId="7BE78BB1" w14:textId="77777777" w:rsidTr="00DB13FE">
        <w:tblPrEx>
          <w:tblW w:w="5000" w:type="pct"/>
          <w:tblLayout w:type="fixed"/>
          <w:tblLook w:val="0000"/>
        </w:tblPrEx>
        <w:tc>
          <w:tcPr>
            <w:tcW w:w="607" w:type="dxa"/>
          </w:tcPr>
          <w:p w:rsidR="00F85C99" w:rsidRPr="002F6A28" w:rsidP="002F6A28" w14:paraId="75FF5AEC" w14:textId="77777777">
            <w:pPr>
              <w:spacing w:before="120" w:after="120"/>
              <w:jc w:val="left"/>
              <w:rPr>
                <w:b/>
              </w:rPr>
            </w:pPr>
            <w:r w:rsidRPr="002F6A28">
              <w:rPr>
                <w:b/>
              </w:rPr>
              <w:t>3.</w:t>
            </w:r>
          </w:p>
        </w:tc>
        <w:tc>
          <w:tcPr>
            <w:tcW w:w="8373" w:type="dxa"/>
          </w:tcPr>
          <w:p w:rsidR="00F85C99" w:rsidRPr="0058336F" w:rsidP="002F6A28" w14:paraId="6050194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AA9CA94" w14:textId="77777777" w:rsidTr="00DB13FE">
        <w:tblPrEx>
          <w:tblW w:w="5000" w:type="pct"/>
          <w:tblLayout w:type="fixed"/>
          <w:tblLook w:val="0000"/>
        </w:tblPrEx>
        <w:tc>
          <w:tcPr>
            <w:tcW w:w="607" w:type="dxa"/>
          </w:tcPr>
          <w:p w:rsidR="00F85C99" w:rsidRPr="002F6A28" w:rsidP="002F6A28" w14:paraId="7CE6F4A4" w14:textId="77777777">
            <w:pPr>
              <w:spacing w:before="120" w:after="120"/>
              <w:jc w:val="left"/>
            </w:pPr>
            <w:r w:rsidRPr="002F6A28">
              <w:rPr>
                <w:b/>
              </w:rPr>
              <w:t>4.</w:t>
            </w:r>
          </w:p>
        </w:tc>
        <w:tc>
          <w:tcPr>
            <w:tcW w:w="8373" w:type="dxa"/>
          </w:tcPr>
          <w:p w:rsidR="00F85C99" w:rsidRPr="002F6A28" w:rsidP="002F6A28" w14:paraId="434434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Rotating electrical machines</w:t>
            </w:r>
          </w:p>
        </w:tc>
      </w:tr>
      <w:tr w14:paraId="4929441D" w14:textId="77777777" w:rsidTr="00DB13FE">
        <w:tblPrEx>
          <w:tblW w:w="5000" w:type="pct"/>
          <w:tblLayout w:type="fixed"/>
          <w:tblLook w:val="0000"/>
        </w:tblPrEx>
        <w:tc>
          <w:tcPr>
            <w:tcW w:w="607" w:type="dxa"/>
          </w:tcPr>
          <w:p w:rsidR="00F85C99" w:rsidRPr="002F6A28" w:rsidP="002F6A28" w14:paraId="4ECD5526" w14:textId="77777777">
            <w:pPr>
              <w:spacing w:before="120" w:after="120"/>
              <w:jc w:val="left"/>
            </w:pPr>
            <w:r w:rsidRPr="002F6A28">
              <w:rPr>
                <w:b/>
              </w:rPr>
              <w:t>5.</w:t>
            </w:r>
          </w:p>
        </w:tc>
        <w:tc>
          <w:tcPr>
            <w:tcW w:w="8373" w:type="dxa"/>
          </w:tcPr>
          <w:p w:rsidR="00F85C99" w:rsidP="002F6A28" w14:paraId="3648744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SI 60034 Part 1 - Rotating electrical machines: Rating and performance; (7 page(s), in Hebrew), (166 page(s), in English)</w:t>
            </w:r>
          </w:p>
          <w:p w:rsidR="000C3B6C" w:rsidRPr="000C3B6C" w:rsidP="002F6A28" w14:paraId="14A1FA6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D3363" w:rsidRPr="00CE6C29" w:rsidP="002F6A28" w14:paraId="2510DC46"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https://members.wto.org/crnattachments/2025/TBT/ISR/25_05897_00_x.pdf</w:t>
              </w:r>
            </w:hyperlink>
          </w:p>
          <w:p w:rsidR="008D3363" w:rsidRPr="00CE6C29" w:rsidP="002F6A28" w14:paraId="12DF3782" w14:textId="77777777">
            <w:pPr>
              <w:rPr>
                <w:iCs/>
              </w:rPr>
            </w:pPr>
            <w:r w:rsidRPr="00CE6C29">
              <w:rPr>
                <w:iCs/>
              </w:rPr>
              <w:t>Israel WTO-TBT Enquiry Point</w:t>
            </w:r>
          </w:p>
          <w:p w:rsidR="008D3363" w:rsidRPr="00CE6C29" w:rsidP="002F6A28" w14:paraId="1861340C" w14:textId="77777777">
            <w:pPr>
              <w:rPr>
                <w:iCs/>
              </w:rPr>
            </w:pPr>
            <w:r w:rsidRPr="00CE6C29">
              <w:rPr>
                <w:iCs/>
              </w:rPr>
              <w:t>Ministry of Economy and Industry Tel: + (972) 74 750 2236</w:t>
            </w:r>
          </w:p>
          <w:p w:rsidR="008D3363" w:rsidRPr="00CE6C29" w:rsidP="002F6A28" w14:paraId="64165E37" w14:textId="77777777">
            <w:pPr>
              <w:spacing w:after="120"/>
              <w:rPr>
                <w:iCs/>
              </w:rPr>
            </w:pPr>
            <w:r w:rsidRPr="00CE6C29">
              <w:rPr>
                <w:iCs/>
              </w:rPr>
              <w:t xml:space="preserve">E-mail: </w:t>
            </w:r>
            <w:hyperlink r:id="rId6" w:history="1">
              <w:r w:rsidRPr="00CE6C29">
                <w:rPr>
                  <w:iCs/>
                  <w:color w:val="0000FF"/>
                  <w:u w:val="single"/>
                </w:rPr>
                <w:t>Yael.Friedgut@service.economy.gov.il</w:t>
              </w:r>
            </w:hyperlink>
          </w:p>
        </w:tc>
      </w:tr>
      <w:tr w14:paraId="2BFDBEE1" w14:textId="77777777" w:rsidTr="00DB13FE">
        <w:tblPrEx>
          <w:tblW w:w="5000" w:type="pct"/>
          <w:tblLayout w:type="fixed"/>
          <w:tblLook w:val="0000"/>
        </w:tblPrEx>
        <w:tc>
          <w:tcPr>
            <w:tcW w:w="607" w:type="dxa"/>
          </w:tcPr>
          <w:p w:rsidR="00F85C99" w:rsidRPr="002F6A28" w:rsidP="002F6A28" w14:paraId="4F26E819" w14:textId="77777777">
            <w:pPr>
              <w:spacing w:before="120" w:after="120"/>
              <w:jc w:val="left"/>
              <w:rPr>
                <w:b/>
              </w:rPr>
            </w:pPr>
            <w:r w:rsidRPr="002F6A28">
              <w:rPr>
                <w:b/>
              </w:rPr>
              <w:t>6.</w:t>
            </w:r>
          </w:p>
        </w:tc>
        <w:tc>
          <w:tcPr>
            <w:tcW w:w="8373" w:type="dxa"/>
          </w:tcPr>
          <w:p w:rsidR="00F85C99" w:rsidRPr="002F6A28" w:rsidP="002F6A28" w14:paraId="22A2DF93" w14:textId="77777777">
            <w:pPr>
              <w:spacing w:before="120" w:after="120"/>
              <w:rPr>
                <w:b/>
              </w:rPr>
            </w:pPr>
            <w:r w:rsidRPr="002F6A28">
              <w:rPr>
                <w:b/>
              </w:rPr>
              <w:t>Description of content:</w:t>
            </w:r>
            <w:r w:rsidRPr="00C379C8" w:rsidR="00FE448B">
              <w:t xml:space="preserve"> Revision of the Mandatory Standard SI 60034, part 1, dealing with rotating electrical machines. This proposed Standard adopts the International Standard IEC 60034-1 - Edition 14.0: 2022-02.</w:t>
            </w:r>
          </w:p>
          <w:p w:rsidR="00FE448B" w:rsidRPr="00C379C8" w:rsidP="002F6A28" w14:paraId="5D67D1BC" w14:textId="77777777">
            <w:pPr>
              <w:spacing w:before="120" w:after="120"/>
            </w:pPr>
            <w:r w:rsidRPr="00C379C8">
              <w:t>The major differences between the old standard and this proposed revision are due to the new edition of the adopted standard.</w:t>
            </w:r>
          </w:p>
          <w:p w:rsidR="00FE448B" w:rsidRPr="00C379C8" w:rsidP="002F6A28" w14:paraId="72E5F023" w14:textId="77777777">
            <w:pPr>
              <w:spacing w:before="120" w:after="120"/>
            </w:pPr>
            <w:r w:rsidRPr="00C379C8">
              <w:t>Only sections that apply to asynchronous cage motors, except Section 201 of the proposed standard, will be mandatory;</w:t>
            </w:r>
          </w:p>
          <w:p w:rsidR="00FE448B" w:rsidRPr="00C379C8" w:rsidP="002F6A28" w14:paraId="7A3A5C8E" w14:textId="77777777">
            <w:pPr>
              <w:spacing w:before="120" w:after="120"/>
            </w:pPr>
            <w:r w:rsidRPr="00C379C8">
              <w:t>Both the old standard and the new proposed standard will apply from the date of entry into force of this revision for a transition period of 3 years. During this time, products are required to comply with either the old or the new standard.</w:t>
            </w:r>
          </w:p>
        </w:tc>
      </w:tr>
      <w:tr w14:paraId="647A5672" w14:textId="77777777" w:rsidTr="00DB13FE">
        <w:tblPrEx>
          <w:tblW w:w="5000" w:type="pct"/>
          <w:tblLayout w:type="fixed"/>
          <w:tblLook w:val="0000"/>
        </w:tblPrEx>
        <w:tc>
          <w:tcPr>
            <w:tcW w:w="607" w:type="dxa"/>
          </w:tcPr>
          <w:p w:rsidR="00F85C99" w:rsidRPr="002F6A28" w:rsidP="002F6A28" w14:paraId="40908AFD" w14:textId="77777777">
            <w:pPr>
              <w:spacing w:before="120" w:after="120"/>
              <w:jc w:val="left"/>
              <w:rPr>
                <w:b/>
              </w:rPr>
            </w:pPr>
            <w:r w:rsidRPr="002F6A28">
              <w:rPr>
                <w:b/>
              </w:rPr>
              <w:t>7.</w:t>
            </w:r>
          </w:p>
        </w:tc>
        <w:tc>
          <w:tcPr>
            <w:tcW w:w="8373" w:type="dxa"/>
          </w:tcPr>
          <w:p w:rsidR="00F85C99" w:rsidRPr="002F6A28" w:rsidP="002F6A28" w14:paraId="0430F02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 Reducing trade barriers and facilitating trade</w:t>
            </w:r>
          </w:p>
        </w:tc>
      </w:tr>
      <w:tr w14:paraId="0049CD78" w14:textId="77777777" w:rsidTr="00DB13FE">
        <w:tblPrEx>
          <w:tblW w:w="5000" w:type="pct"/>
          <w:tblLayout w:type="fixed"/>
          <w:tblLook w:val="0000"/>
        </w:tblPrEx>
        <w:tc>
          <w:tcPr>
            <w:tcW w:w="607" w:type="dxa"/>
          </w:tcPr>
          <w:p w:rsidR="00F85C99" w:rsidRPr="002F6A28" w:rsidP="009E75ED" w14:paraId="44532F6D" w14:textId="77777777">
            <w:pPr>
              <w:spacing w:before="120" w:after="120"/>
              <w:jc w:val="left"/>
              <w:rPr>
                <w:b/>
              </w:rPr>
            </w:pPr>
            <w:r w:rsidRPr="002F6A28">
              <w:rPr>
                <w:b/>
              </w:rPr>
              <w:t>8.</w:t>
            </w:r>
          </w:p>
        </w:tc>
        <w:tc>
          <w:tcPr>
            <w:tcW w:w="8373" w:type="dxa"/>
          </w:tcPr>
          <w:p w:rsidR="000C3B6C" w:rsidRPr="00EC00D2" w:rsidP="007F13E8" w14:paraId="464F4489" w14:textId="77777777">
            <w:pPr>
              <w:spacing w:before="120" w:after="120"/>
              <w:rPr>
                <w:bCs/>
              </w:rPr>
            </w:pPr>
            <w:r w:rsidRPr="002F6A28">
              <w:rPr>
                <w:b/>
              </w:rPr>
              <w:t>Relevant documents:</w:t>
            </w:r>
            <w:r w:rsidRPr="002F6A28" w:rsidR="00EE3A11">
              <w:t xml:space="preserve"> </w:t>
            </w:r>
          </w:p>
          <w:p w:rsidR="00EE3A11" w:rsidRPr="002F6A28" w:rsidP="007F13E8" w14:paraId="6A0510BC" w14:textId="77777777">
            <w:pPr>
              <w:numPr>
                <w:ilvl w:val="0"/>
                <w:numId w:val="16"/>
              </w:numPr>
              <w:spacing w:before="120" w:after="120"/>
            </w:pPr>
            <w:r w:rsidRPr="002F6A28">
              <w:t>SI 60034 part 1 (July 2019);</w:t>
            </w:r>
          </w:p>
          <w:p w:rsidR="00EE3A11" w:rsidRPr="002F6A28" w:rsidP="007F13E8" w14:paraId="5F5FFBC0" w14:textId="77777777">
            <w:pPr>
              <w:numPr>
                <w:ilvl w:val="0"/>
                <w:numId w:val="16"/>
              </w:numPr>
              <w:spacing w:before="120" w:after="120"/>
            </w:pPr>
            <w:r w:rsidRPr="002F6A28">
              <w:t>International Standard IEC 60034-1 - Edition 14.0: 2022-02.</w:t>
            </w:r>
          </w:p>
        </w:tc>
      </w:tr>
      <w:tr w14:paraId="73D0019B" w14:textId="77777777" w:rsidTr="00DB13FE">
        <w:tblPrEx>
          <w:tblW w:w="5000" w:type="pct"/>
          <w:tblLayout w:type="fixed"/>
          <w:tblLook w:val="0000"/>
        </w:tblPrEx>
        <w:tc>
          <w:tcPr>
            <w:tcW w:w="607" w:type="dxa"/>
          </w:tcPr>
          <w:p w:rsidR="00EE3A11" w:rsidRPr="002F6A28" w:rsidP="002F6A28" w14:paraId="2A5C2A78" w14:textId="77777777">
            <w:pPr>
              <w:spacing w:before="120" w:after="120"/>
              <w:jc w:val="left"/>
              <w:rPr>
                <w:b/>
              </w:rPr>
            </w:pPr>
            <w:r w:rsidRPr="002F6A28">
              <w:rPr>
                <w:b/>
              </w:rPr>
              <w:t>9.</w:t>
            </w:r>
          </w:p>
        </w:tc>
        <w:tc>
          <w:tcPr>
            <w:tcW w:w="8373" w:type="dxa"/>
          </w:tcPr>
          <w:p w:rsidR="00EE3A11" w:rsidRPr="002F6A28" w:rsidP="008953C4" w14:paraId="2CD60813" w14:textId="77777777">
            <w:pPr>
              <w:spacing w:before="120" w:after="120"/>
            </w:pPr>
            <w:r w:rsidRPr="002F6A28">
              <w:rPr>
                <w:b/>
              </w:rPr>
              <w:t>Proposed date of adoption:</w:t>
            </w:r>
            <w:r w:rsidRPr="00C379C8">
              <w:t xml:space="preserve"> To be determined</w:t>
            </w:r>
          </w:p>
          <w:p w:rsidR="00EE3A11" w:rsidRPr="002F6A28" w:rsidP="008953C4" w14:paraId="2A0097E5" w14:textId="77777777">
            <w:pPr>
              <w:spacing w:after="120"/>
            </w:pPr>
            <w:r w:rsidRPr="002F6A28">
              <w:rPr>
                <w:b/>
              </w:rPr>
              <w:t>Proposed date of entry into force:</w:t>
            </w:r>
            <w:r w:rsidRPr="00C379C8">
              <w:t xml:space="preserve"> </w:t>
            </w:r>
            <w:r w:rsidRPr="00C379C8">
              <w:t>To be determined; Generally, 60 days after publication in the Israel Official Gazette, Section of Government Notices. Furthermore, both the old and the new proposed standards will apply from the date of entry into force for this revision for a transition period of three years. During this time, products are required to comply with either the old or the new standards.</w:t>
            </w:r>
          </w:p>
        </w:tc>
      </w:tr>
      <w:tr w14:paraId="3769198A" w14:textId="77777777" w:rsidTr="00DB13FE">
        <w:tblPrEx>
          <w:tblW w:w="5000" w:type="pct"/>
          <w:tblLayout w:type="fixed"/>
          <w:tblLook w:val="0000"/>
        </w:tblPrEx>
        <w:tc>
          <w:tcPr>
            <w:tcW w:w="607" w:type="dxa"/>
            <w:tcBorders>
              <w:bottom w:val="double" w:sz="4" w:space="0" w:color="auto"/>
            </w:tcBorders>
          </w:tcPr>
          <w:p w:rsidR="00F85C99" w:rsidRPr="002F6A28" w:rsidP="002F6A28" w14:paraId="0DDA9A3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65AC9A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3F7FDAA" w14:textId="77777777">
            <w:pPr>
              <w:spacing w:before="120" w:after="120"/>
              <w:rPr>
                <w:bCs/>
              </w:rPr>
            </w:pPr>
            <w:r w:rsidRPr="002F6A28">
              <w:rPr>
                <w:b/>
              </w:rPr>
              <w:t>Final date for comments:</w:t>
            </w:r>
            <w:r w:rsidRPr="00C379C8" w:rsidR="00EE3A11">
              <w:t xml:space="preserve"> 9 November 2025</w:t>
            </w:r>
          </w:p>
          <w:p w:rsidR="000C3B6C" w:rsidRPr="00E3324D" w:rsidP="000C3B6C" w14:paraId="4BCB3A5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E8A4F2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0AAD49" w14:textId="77777777">
            <w:r w:rsidRPr="00CE6C29">
              <w:t>WTO-TBT Enquiry Point</w:t>
            </w:r>
          </w:p>
          <w:p w:rsidR="00CE6C29" w:rsidRPr="00CE6C29" w:rsidP="000C3B6C" w14:paraId="53A68C81" w14:textId="77777777">
            <w:pPr>
              <w:spacing w:after="120"/>
            </w:pPr>
            <w:r w:rsidRPr="00CE6C29">
              <w:t xml:space="preserve">Email: </w:t>
            </w:r>
            <w:hyperlink r:id="rId6" w:history="1">
              <w:r w:rsidRPr="00CE6C29">
                <w:rPr>
                  <w:color w:val="0000FF"/>
                  <w:u w:val="single"/>
                </w:rPr>
                <w:t>Yael.Friedgut@Service.economy.gov.il</w:t>
              </w:r>
            </w:hyperlink>
          </w:p>
        </w:tc>
      </w:tr>
    </w:tbl>
    <w:p w:rsidR="00EE3A11" w:rsidRPr="002F6A28" w:rsidP="00887259" w14:paraId="56059374"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0AE40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D4760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A2E0FD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4FE030" w14:textId="77777777">
    <w:pPr>
      <w:pStyle w:val="Header"/>
      <w:pBdr>
        <w:bottom w:val="single" w:sz="4" w:space="1" w:color="auto"/>
      </w:pBdr>
      <w:tabs>
        <w:tab w:val="clear" w:pos="4513"/>
        <w:tab w:val="clear" w:pos="9027"/>
      </w:tabs>
      <w:jc w:val="center"/>
    </w:pPr>
    <w:r w:rsidRPr="002F6A28">
      <w:t>tbtSymbol</w:t>
    </w:r>
  </w:p>
  <w:p w:rsidR="009239F7" w:rsidRPr="002F6A28" w:rsidP="009239F7" w14:paraId="4858570C" w14:textId="77777777">
    <w:pPr>
      <w:pStyle w:val="Header"/>
      <w:pBdr>
        <w:bottom w:val="single" w:sz="4" w:space="1" w:color="auto"/>
      </w:pBdr>
      <w:tabs>
        <w:tab w:val="clear" w:pos="4513"/>
        <w:tab w:val="clear" w:pos="9027"/>
      </w:tabs>
      <w:jc w:val="center"/>
    </w:pPr>
  </w:p>
  <w:p w:rsidR="009239F7" w:rsidRPr="002F6A28" w:rsidP="009239F7" w14:paraId="0010376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929842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6A5CB0" w14:textId="77777777">
    <w:pPr>
      <w:pStyle w:val="Header"/>
      <w:pBdr>
        <w:bottom w:val="single" w:sz="4" w:space="1" w:color="auto"/>
      </w:pBdr>
      <w:tabs>
        <w:tab w:val="clear" w:pos="4513"/>
        <w:tab w:val="clear" w:pos="9027"/>
      </w:tabs>
      <w:jc w:val="center"/>
    </w:pPr>
    <w:bookmarkStart w:id="0" w:name="spsSymbolHeader"/>
    <w:r w:rsidRPr="002F6A28">
      <w:t>G/TBT/N/ISR/1404</w:t>
    </w:r>
    <w:bookmarkEnd w:id="0"/>
  </w:p>
  <w:p w:rsidR="009239F7" w:rsidRPr="002F6A28" w:rsidP="009239F7" w14:paraId="5D72B96D" w14:textId="77777777">
    <w:pPr>
      <w:pStyle w:val="Header"/>
      <w:pBdr>
        <w:bottom w:val="single" w:sz="4" w:space="1" w:color="auto"/>
      </w:pBdr>
      <w:tabs>
        <w:tab w:val="clear" w:pos="4513"/>
        <w:tab w:val="clear" w:pos="9027"/>
      </w:tabs>
      <w:jc w:val="center"/>
    </w:pPr>
  </w:p>
  <w:p w:rsidR="009239F7" w:rsidRPr="002F6A28" w:rsidP="009239F7" w14:paraId="15406B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35CA2B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F3524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5825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B29B0F" w14:textId="77777777">
          <w:pPr>
            <w:jc w:val="right"/>
            <w:rPr>
              <w:b/>
              <w:color w:val="FF0000"/>
              <w:szCs w:val="16"/>
            </w:rPr>
          </w:pPr>
        </w:p>
      </w:tc>
    </w:tr>
    <w:bookmarkEnd w:id="1"/>
    <w:tr w14:paraId="22C1F96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4A7969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C48751F" w14:textId="77777777">
          <w:pPr>
            <w:jc w:val="right"/>
            <w:rPr>
              <w:b/>
              <w:szCs w:val="16"/>
            </w:rPr>
          </w:pPr>
        </w:p>
      </w:tc>
    </w:tr>
    <w:tr w14:paraId="3BF1AA1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68AE2A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9250306" w14:textId="77777777">
          <w:pPr>
            <w:jc w:val="right"/>
            <w:rPr>
              <w:b/>
              <w:szCs w:val="16"/>
            </w:rPr>
          </w:pPr>
          <w:bookmarkStart w:id="2" w:name="bmkSymbols"/>
          <w:r w:rsidRPr="002F6A28">
            <w:rPr>
              <w:b/>
              <w:szCs w:val="16"/>
            </w:rPr>
            <w:t>G/TBT/N/ISR/1404</w:t>
          </w:r>
          <w:bookmarkEnd w:id="2"/>
        </w:p>
      </w:tc>
    </w:tr>
    <w:tr w14:paraId="2C255D0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15FA16" w14:textId="77777777"/>
      </w:tc>
      <w:tc>
        <w:tcPr>
          <w:tcW w:w="5448" w:type="dxa"/>
          <w:gridSpan w:val="2"/>
          <w:shd w:val="clear" w:color="auto" w:fill="FFFFFF"/>
          <w:tcMar>
            <w:left w:w="108" w:type="dxa"/>
            <w:right w:w="108" w:type="dxa"/>
          </w:tcMar>
          <w:vAlign w:val="center"/>
        </w:tcPr>
        <w:p w:rsidR="00ED54E0" w:rsidRPr="009239F7" w:rsidP="00B801E9" w14:paraId="0327E268" w14:textId="77777777">
          <w:pPr>
            <w:jc w:val="right"/>
            <w:rPr>
              <w:szCs w:val="16"/>
            </w:rPr>
          </w:pPr>
          <w:bookmarkStart w:id="3" w:name="spsDateDistribution"/>
          <w:bookmarkStart w:id="4" w:name="bmkDate"/>
          <w:r w:rsidRPr="009239F7">
            <w:rPr>
              <w:szCs w:val="16"/>
            </w:rPr>
            <w:t>10 September 2025</w:t>
          </w:r>
          <w:bookmarkEnd w:id="3"/>
          <w:bookmarkEnd w:id="4"/>
        </w:p>
      </w:tc>
    </w:tr>
    <w:tr w14:paraId="418E335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06F1763" w14:textId="77777777">
          <w:pPr>
            <w:jc w:val="left"/>
            <w:rPr>
              <w:b/>
            </w:rPr>
          </w:pPr>
          <w:bookmarkStart w:id="5" w:name="bmkSerial"/>
          <w:r>
            <w:rPr>
              <w:b w:val="0"/>
              <w:color w:val="FF0000"/>
            </w:rPr>
            <w:t>(25-5623)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E0F7C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91532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550E6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15CE1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22FDB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73047900">
    <w:abstractNumId w:val="9"/>
  </w:num>
  <w:num w:numId="2" w16cid:durableId="1077244009">
    <w:abstractNumId w:val="7"/>
  </w:num>
  <w:num w:numId="3" w16cid:durableId="677002110">
    <w:abstractNumId w:val="6"/>
  </w:num>
  <w:num w:numId="4" w16cid:durableId="2013605662">
    <w:abstractNumId w:val="5"/>
  </w:num>
  <w:num w:numId="5" w16cid:durableId="784811144">
    <w:abstractNumId w:val="4"/>
  </w:num>
  <w:num w:numId="6" w16cid:durableId="1467239666">
    <w:abstractNumId w:val="12"/>
  </w:num>
  <w:num w:numId="7" w16cid:durableId="2039307211">
    <w:abstractNumId w:val="11"/>
  </w:num>
  <w:num w:numId="8" w16cid:durableId="724332986">
    <w:abstractNumId w:val="10"/>
  </w:num>
  <w:num w:numId="9" w16cid:durableId="1328561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7134456">
    <w:abstractNumId w:val="13"/>
  </w:num>
  <w:num w:numId="11" w16cid:durableId="2064138125">
    <w:abstractNumId w:val="8"/>
  </w:num>
  <w:num w:numId="12" w16cid:durableId="491988883">
    <w:abstractNumId w:val="3"/>
  </w:num>
  <w:num w:numId="13" w16cid:durableId="1096559483">
    <w:abstractNumId w:val="2"/>
  </w:num>
  <w:num w:numId="14" w16cid:durableId="1510801462">
    <w:abstractNumId w:val="1"/>
  </w:num>
  <w:num w:numId="15" w16cid:durableId="978338574">
    <w:abstractNumId w:val="0"/>
  </w:num>
  <w:num w:numId="16" w16cid:durableId="19011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48C1"/>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3363"/>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09A3"/>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B413D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ISR/25_05897_00_x.pdf" TargetMode="External" /><Relationship Id="rId6" Type="http://schemas.openxmlformats.org/officeDocument/2006/relationships/hyperlink" Target="mailto:Yael.Friedgut@service.economy.gov.i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2025-09-10T11:38:00Z</dcterms:created>
  <dcterms:modified xsi:type="dcterms:W3CDTF">2025-09-10T11:38:00Z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