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C87059F" w14:textId="77777777">
      <w:pPr>
        <w:pStyle w:val="Title"/>
      </w:pPr>
      <w:r w:rsidRPr="002F663C">
        <w:t>NOTIFICATION</w:t>
      </w:r>
    </w:p>
    <w:p w:rsidR="002F663C" w:rsidRPr="002F663C" w:rsidP="00DD3DD7" w14:paraId="52EF7CBA" w14:textId="77777777">
      <w:pPr>
        <w:pStyle w:val="Title3"/>
      </w:pPr>
      <w:r w:rsidRPr="002F663C">
        <w:t>Addendum</w:t>
      </w:r>
    </w:p>
    <w:p w:rsidR="002F663C" w:rsidP="001E2E4A" w14:paraId="4890CED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September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765C4E85" w14:textId="77777777">
      <w:pPr>
        <w:rPr>
          <w:rFonts w:eastAsia="Calibri" w:cs="Times New Roman"/>
        </w:rPr>
      </w:pPr>
    </w:p>
    <w:p w:rsidR="002F663C" w:rsidRPr="002F663C" w:rsidP="002F663C" w14:paraId="4E3D2F8A" w14:textId="77777777">
      <w:pPr>
        <w:jc w:val="center"/>
        <w:rPr>
          <w:rFonts w:eastAsia="Calibri" w:cs="Times New Roman"/>
          <w:b/>
        </w:rPr>
      </w:pPr>
      <w:r w:rsidRPr="002F663C">
        <w:rPr>
          <w:rFonts w:eastAsia="Calibri" w:cs="Times New Roman"/>
          <w:b/>
        </w:rPr>
        <w:t>_______________</w:t>
      </w:r>
    </w:p>
    <w:p w:rsidR="002F663C" w:rsidP="002F663C" w14:paraId="1C559847" w14:textId="77777777">
      <w:pPr>
        <w:rPr>
          <w:rFonts w:eastAsia="Calibri" w:cs="Times New Roman"/>
        </w:rPr>
      </w:pPr>
    </w:p>
    <w:p w:rsidR="00C14444" w:rsidRPr="002F663C" w:rsidP="002F663C" w14:paraId="1ABF98CA" w14:textId="77777777">
      <w:pPr>
        <w:rPr>
          <w:rFonts w:eastAsia="Calibri" w:cs="Times New Roman"/>
        </w:rPr>
      </w:pPr>
    </w:p>
    <w:p w:rsidR="002F663C" w:rsidRPr="002F663C" w:rsidP="002F663C" w14:paraId="43552B5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Regulatory Guide: Acceptability of ASME Code, Section III, Division 5, ''High Temperature Reactors''</w:t>
      </w:r>
    </w:p>
    <w:p w:rsidR="002F663C" w:rsidRPr="002F663C" w:rsidP="002F663C" w14:paraId="356B832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647E0E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893B9B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1B0D614" w14:textId="77777777" w:rsidTr="00E9471B">
        <w:tblPrEx>
          <w:tblW w:w="9049" w:type="dxa"/>
          <w:tblLayout w:type="fixed"/>
          <w:tblLook w:val="04A0"/>
        </w:tblPrEx>
        <w:tc>
          <w:tcPr>
            <w:tcW w:w="851" w:type="dxa"/>
          </w:tcPr>
          <w:p w:rsidR="002F663C" w:rsidRPr="00711F9C" w:rsidP="00C14444" w14:paraId="1E8B752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71A295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1713ABC" w14:textId="77777777" w:rsidTr="00E9471B">
        <w:tblPrEx>
          <w:tblW w:w="9049" w:type="dxa"/>
          <w:tblLayout w:type="fixed"/>
          <w:tblLook w:val="04A0"/>
        </w:tblPrEx>
        <w:tc>
          <w:tcPr>
            <w:tcW w:w="851" w:type="dxa"/>
          </w:tcPr>
          <w:p w:rsidR="002F663C" w:rsidRPr="00711F9C" w:rsidP="00C14444" w14:paraId="2811B78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ABB607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4EDD77D" w14:textId="77777777" w:rsidTr="00E9471B">
        <w:tblPrEx>
          <w:tblW w:w="9049" w:type="dxa"/>
          <w:tblLayout w:type="fixed"/>
          <w:tblLook w:val="04A0"/>
        </w:tblPrEx>
        <w:tc>
          <w:tcPr>
            <w:tcW w:w="851" w:type="dxa"/>
          </w:tcPr>
          <w:p w:rsidR="002F663C" w:rsidRPr="00711F9C" w:rsidP="00C14444" w14:paraId="3FE6EEE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968CF85"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 September 2025</w:t>
            </w:r>
          </w:p>
        </w:tc>
      </w:tr>
      <w:tr w14:paraId="7B1D42DC" w14:textId="77777777" w:rsidTr="00E9471B">
        <w:tblPrEx>
          <w:tblW w:w="9049" w:type="dxa"/>
          <w:tblLayout w:type="fixed"/>
          <w:tblLook w:val="04A0"/>
        </w:tblPrEx>
        <w:tc>
          <w:tcPr>
            <w:tcW w:w="851" w:type="dxa"/>
          </w:tcPr>
          <w:p w:rsidR="002F663C" w:rsidRPr="00711F9C" w:rsidP="00C14444" w14:paraId="1370BCC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706635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456A580" w14:textId="77777777" w:rsidTr="00E9471B">
        <w:tblPrEx>
          <w:tblW w:w="9049" w:type="dxa"/>
          <w:tblLayout w:type="fixed"/>
          <w:tblLook w:val="04A0"/>
        </w:tblPrEx>
        <w:tc>
          <w:tcPr>
            <w:tcW w:w="851" w:type="dxa"/>
          </w:tcPr>
          <w:p w:rsidR="002F663C" w:rsidRPr="00711F9C" w:rsidP="00C14444" w14:paraId="2C9AFEB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12A71A5"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4530A3A" w14:textId="77777777" w:rsidTr="00E9471B">
        <w:tblPrEx>
          <w:tblW w:w="9049" w:type="dxa"/>
          <w:tblLayout w:type="fixed"/>
          <w:tblLook w:val="04A0"/>
        </w:tblPrEx>
        <w:tc>
          <w:tcPr>
            <w:tcW w:w="851" w:type="dxa"/>
          </w:tcPr>
          <w:p w:rsidR="002F663C" w:rsidRPr="00711F9C" w:rsidP="00C14444" w14:paraId="6B18022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318810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E1A5C4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C932F78" w14:textId="77777777" w:rsidTr="00E9471B">
        <w:tblPrEx>
          <w:tblW w:w="9049" w:type="dxa"/>
          <w:tblLayout w:type="fixed"/>
          <w:tblLook w:val="04A0"/>
        </w:tblPrEx>
        <w:tc>
          <w:tcPr>
            <w:tcW w:w="851" w:type="dxa"/>
          </w:tcPr>
          <w:p w:rsidR="002F663C" w:rsidRPr="00711F9C" w:rsidP="00C14444" w14:paraId="40BC254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CEE858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584A3F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9792B3E" w14:textId="77777777" w:rsidTr="00E9471B">
        <w:tblPrEx>
          <w:tblW w:w="9049" w:type="dxa"/>
          <w:tblLayout w:type="fixed"/>
          <w:tblLook w:val="04A0"/>
        </w:tblPrEx>
        <w:tc>
          <w:tcPr>
            <w:tcW w:w="851" w:type="dxa"/>
          </w:tcPr>
          <w:p w:rsidR="002F663C" w:rsidRPr="00711F9C" w:rsidP="00C14444" w14:paraId="7590E84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32BFC4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8DA21F4" w14:textId="77777777" w:rsidTr="00E9471B">
        <w:tblPrEx>
          <w:tblW w:w="9049" w:type="dxa"/>
          <w:tblLayout w:type="fixed"/>
          <w:tblLook w:val="04A0"/>
        </w:tblPrEx>
        <w:tc>
          <w:tcPr>
            <w:tcW w:w="851" w:type="dxa"/>
            <w:tcBorders>
              <w:bottom w:val="double" w:sz="4" w:space="0" w:color="auto"/>
            </w:tcBorders>
          </w:tcPr>
          <w:p w:rsidR="002F663C" w:rsidRPr="00711F9C" w:rsidP="00C14444" w14:paraId="187CDD5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9450B9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3556AC7" w14:textId="77777777">
      <w:pPr>
        <w:jc w:val="left"/>
        <w:rPr>
          <w:rFonts w:eastAsia="Calibri" w:cs="Times New Roman"/>
          <w:highlight w:val="yellow"/>
        </w:rPr>
      </w:pPr>
    </w:p>
    <w:p w:rsidR="003971FF" w:rsidRPr="007F6EA2" w:rsidP="00B16ACF" w14:paraId="1EEE25AB"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U.S. Nuclear Regulatory Commission (NRC) is issuing Revision 3 to Regulatory Guide (RG), 1.87, ''Acceptability of ASME Code, Section III, Division 5, ''High Temperature Reactors.'''' This regulatory guide (RG) describes an approach that is acceptable to the staff of the NRC to assure the mechanical/structural integrity of components that operate in elevated temperature environments and that are subject to time-dependent material properties and failure modes. It endorses, with exceptions and limitations,</w:t>
      </w:r>
      <w:r w:rsidRPr="002F663C">
        <w:rPr>
          <w:rFonts w:eastAsia="Calibri" w:cs="Times New Roman"/>
          <w:szCs w:val="18"/>
        </w:rPr>
        <w:t xml:space="preserve"> the American Society of Mechanical Engineers (ASME) Boiler and Pressure Vessel (BPV) Code (ASME Code) Section III, ''Rules for Construction of Nuclear Facility Components,'' Division 5, ''High Temperature Reactors,'' and several related Code Cases.</w:t>
      </w:r>
    </w:p>
    <w:p w:rsidR="00DC1101" w:rsidRPr="002F663C" w:rsidP="00B16ACF" w14:paraId="3127CEA3" w14:textId="77777777">
      <w:pPr>
        <w:spacing w:before="120" w:after="120"/>
        <w:rPr>
          <w:rFonts w:eastAsia="Calibri" w:cs="Times New Roman"/>
          <w:szCs w:val="18"/>
        </w:rPr>
      </w:pPr>
      <w:r w:rsidRPr="002F663C">
        <w:rPr>
          <w:rFonts w:eastAsia="Calibri" w:cs="Times New Roman"/>
          <w:szCs w:val="18"/>
        </w:rPr>
        <w:t xml:space="preserve">Revision 3 to RG 1.87 is available on 3 September 2025; refer to Power Reactors (Division 1): Regulatory Guides 1.81 - 1.100, accessible at </w:t>
      </w:r>
      <w:hyperlink r:id="rId6" w:history="1">
        <w:r w:rsidRPr="002F663C">
          <w:rPr>
            <w:rFonts w:eastAsia="Calibri" w:cs="Times New Roman"/>
            <w:color w:val="0000FF"/>
            <w:szCs w:val="18"/>
            <w:u w:val="single"/>
          </w:rPr>
          <w:t>https://www.nrc.gov/reading-rm/doc-collections/reg-guides/power-reactors/rg/division-1/division-1-81.html</w:t>
        </w:r>
      </w:hyperlink>
      <w:r w:rsidRPr="002F663C">
        <w:rPr>
          <w:rFonts w:eastAsia="Calibri" w:cs="Times New Roman"/>
          <w:szCs w:val="18"/>
        </w:rPr>
        <w:t>.</w:t>
      </w:r>
    </w:p>
    <w:p w:rsidR="00DC1101" w:rsidRPr="002F663C" w:rsidP="00B16ACF" w14:paraId="5F2F21EC" w14:textId="77777777">
      <w:pPr>
        <w:spacing w:before="120" w:after="120"/>
        <w:rPr>
          <w:rFonts w:eastAsia="Calibri" w:cs="Times New Roman"/>
          <w:szCs w:val="18"/>
        </w:rPr>
      </w:pPr>
      <w:r w:rsidRPr="002F663C">
        <w:rPr>
          <w:rFonts w:eastAsia="Calibri" w:cs="Times New Roman"/>
          <w:szCs w:val="18"/>
        </w:rPr>
        <w:t>90 Federal Register (FR) 42627, 3 September 2025:</w:t>
      </w:r>
    </w:p>
    <w:p w:rsidR="00DC1101" w:rsidRPr="002F663C" w:rsidP="00B16ACF" w14:paraId="2E354B5A" w14:textId="77777777">
      <w:pPr>
        <w:spacing w:before="120" w:after="120"/>
        <w:rPr>
          <w:rFonts w:eastAsia="Calibri" w:cs="Times New Roman"/>
          <w:szCs w:val="18"/>
        </w:rPr>
      </w:pPr>
      <w:hyperlink r:id="rId7" w:history="1">
        <w:r w:rsidRPr="002F663C">
          <w:rPr>
            <w:rFonts w:eastAsia="Calibri" w:cs="Times New Roman"/>
            <w:color w:val="0000FF"/>
            <w:szCs w:val="18"/>
            <w:u w:val="single"/>
          </w:rPr>
          <w:t>https://www.govinfo.gov/content/pkg/FR-2025-09-03/html/2025-16899.htm</w:t>
        </w:r>
      </w:hyperlink>
    </w:p>
    <w:p w:rsidR="00DC1101" w:rsidRPr="002F663C" w:rsidP="00B16ACF" w14:paraId="4D9895C2"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https://www.govinfo.gov/content/pkg/FR-2025-09-03/pdf/2025-16899.pdf</w:t>
        </w:r>
      </w:hyperlink>
    </w:p>
    <w:p w:rsidR="00DC1101" w:rsidRPr="002F663C" w:rsidP="00B16ACF" w14:paraId="71B61A0D"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9" w:history="1">
        <w:r w:rsidRPr="002F663C">
          <w:rPr>
            <w:rFonts w:eastAsia="Calibri" w:cs="Times New Roman"/>
            <w:color w:val="0000FF"/>
            <w:szCs w:val="18"/>
            <w:u w:val="single"/>
          </w:rPr>
          <w:t>G/TBT/N/USA/2169</w:t>
        </w:r>
      </w:hyperlink>
      <w:r w:rsidRPr="002F663C">
        <w:rPr>
          <w:rFonts w:eastAsia="Calibri" w:cs="Times New Roman"/>
          <w:szCs w:val="18"/>
        </w:rPr>
        <w:t xml:space="preserve"> are identified by Docket Number NRC-2024-0203. The Docket Folder is available on Regulations.gov at </w:t>
      </w:r>
      <w:hyperlink r:id="rId10" w:history="1">
        <w:r w:rsidRPr="002F663C">
          <w:rPr>
            <w:rFonts w:eastAsia="Calibri" w:cs="Times New Roman"/>
            <w:color w:val="0000FF"/>
            <w:szCs w:val="18"/>
            <w:u w:val="single"/>
          </w:rPr>
          <w:t>https://www.regulations.gov/docket/NRC-2024-0203/document</w:t>
        </w:r>
      </w:hyperlink>
      <w:r w:rsidRPr="002F663C">
        <w:rPr>
          <w:rFonts w:eastAsia="Calibri" w:cs="Times New Roman"/>
          <w:szCs w:val="18"/>
        </w:rPr>
        <w:t xml:space="preserve"> and provides access to primary documents as well as comments received. Documents are also accessible from </w:t>
      </w:r>
      <w:hyperlink r:id="rId1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212581C" w14:textId="77777777">
      <w:pPr>
        <w:jc w:val="center"/>
        <w:rPr>
          <w:b/>
        </w:rPr>
      </w:pPr>
      <w:r w:rsidRPr="003971FF">
        <w:rPr>
          <w:b/>
        </w:rPr>
        <w:t>__________</w:t>
      </w:r>
    </w:p>
    <w:p w:rsidR="004D4D19" w:rsidP="007F38C2" w14:paraId="44CB1FE2" w14:textId="77777777">
      <w:pPr>
        <w:jc w:val="center"/>
        <w:rPr>
          <w:b/>
        </w:rPr>
      </w:pPr>
    </w:p>
    <w:p w:rsidR="00A1565D" w:rsidP="003971FF" w14:paraId="3F9308BA" w14:textId="77777777">
      <w:pPr>
        <w:jc w:val="center"/>
        <w:rPr>
          <w:b/>
        </w:rPr>
      </w:pPr>
    </w:p>
    <w:sectPr w:rsidSect="006C5A96">
      <w:headerReference w:type="even" r:id="rId12"/>
      <w:headerReference w:type="default" r:id="rId13"/>
      <w:footerReference w:type="even" r:id="rId14"/>
      <w:footerReference w:type="default" r:id="rId15"/>
      <w:headerReference w:type="first" r:id="rId16"/>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212E51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C36B20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4EA9CFA" w14:textId="77777777">
      <w:r>
        <w:separator/>
      </w:r>
    </w:p>
  </w:footnote>
  <w:footnote w:type="continuationSeparator" w:id="1">
    <w:p w:rsidR="004D3A6A" w:rsidP="00ED54E0" w14:paraId="5C84F058" w14:textId="77777777">
      <w:r>
        <w:continuationSeparator/>
      </w:r>
    </w:p>
  </w:footnote>
  <w:footnote w:id="2">
    <w:p w:rsidR="007F6EA2" w14:paraId="7365A88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A6B440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01D34EE" w14:textId="77777777">
    <w:pPr>
      <w:pStyle w:val="Header"/>
      <w:pBdr>
        <w:bottom w:val="single" w:sz="4" w:space="1" w:color="auto"/>
      </w:pBdr>
      <w:tabs>
        <w:tab w:val="clear" w:pos="4513"/>
        <w:tab w:val="clear" w:pos="9027"/>
      </w:tabs>
      <w:jc w:val="center"/>
    </w:pPr>
  </w:p>
  <w:p w:rsidR="00DD3DD7" w:rsidRPr="00DD3DD7" w:rsidP="00DD3DD7" w14:paraId="6B84626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0BF0DD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02C8CF4" w14:textId="77777777">
    <w:pPr>
      <w:pStyle w:val="Header"/>
      <w:pBdr>
        <w:bottom w:val="single" w:sz="4" w:space="1" w:color="auto"/>
      </w:pBdr>
      <w:tabs>
        <w:tab w:val="clear" w:pos="4513"/>
        <w:tab w:val="clear" w:pos="9027"/>
      </w:tabs>
      <w:jc w:val="center"/>
    </w:pPr>
    <w:bookmarkStart w:id="3" w:name="spsSymbolHeader"/>
    <w:r w:rsidRPr="00DD3DD7">
      <w:t>G/TBT/N/USA/2169/Add.2</w:t>
    </w:r>
    <w:bookmarkEnd w:id="3"/>
  </w:p>
  <w:p w:rsidR="00DD3DD7" w:rsidRPr="00DD3DD7" w:rsidP="00DD3DD7" w14:paraId="7828644C" w14:textId="77777777">
    <w:pPr>
      <w:pStyle w:val="Header"/>
      <w:pBdr>
        <w:bottom w:val="single" w:sz="4" w:space="1" w:color="auto"/>
      </w:pBdr>
      <w:tabs>
        <w:tab w:val="clear" w:pos="4513"/>
        <w:tab w:val="clear" w:pos="9027"/>
      </w:tabs>
      <w:jc w:val="center"/>
    </w:pPr>
  </w:p>
  <w:p w:rsidR="00DD3DD7" w:rsidRPr="00DD3DD7" w:rsidP="00DD3DD7" w14:paraId="409CBAF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7BD32E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424070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72B906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D4F3EAC" w14:textId="77777777">
          <w:pPr>
            <w:jc w:val="right"/>
            <w:rPr>
              <w:b/>
              <w:color w:val="FF0000"/>
              <w:szCs w:val="16"/>
            </w:rPr>
          </w:pPr>
          <w:r>
            <w:rPr>
              <w:b/>
              <w:color w:val="FF0000"/>
              <w:szCs w:val="16"/>
            </w:rPr>
            <w:t xml:space="preserve"> </w:t>
          </w:r>
        </w:p>
      </w:tc>
    </w:tr>
    <w:tr w14:paraId="50A0DE7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52D85E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E7604BF" w14:textId="77777777">
          <w:pPr>
            <w:jc w:val="right"/>
            <w:rPr>
              <w:b/>
              <w:szCs w:val="16"/>
            </w:rPr>
          </w:pPr>
        </w:p>
      </w:tc>
    </w:tr>
    <w:tr w14:paraId="4DA2955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683553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76924F4" w14:textId="77777777">
          <w:pPr>
            <w:jc w:val="right"/>
            <w:rPr>
              <w:rFonts w:eastAsia="Calibri" w:cs="Times New Roman"/>
              <w:b/>
              <w:szCs w:val="16"/>
            </w:rPr>
          </w:pPr>
          <w:bookmarkStart w:id="4" w:name="bmkSymbols"/>
          <w:r w:rsidRPr="002F663C">
            <w:rPr>
              <w:rFonts w:eastAsia="Calibri" w:cs="Times New Roman"/>
              <w:b/>
              <w:szCs w:val="16"/>
            </w:rPr>
            <w:t>G/TBT/N/USA/2169/Add.2</w:t>
          </w:r>
          <w:bookmarkEnd w:id="4"/>
        </w:p>
        <w:p w:rsidR="00C14444" w:rsidRPr="00C14444" w:rsidP="00C14444" w14:paraId="57BB75C9" w14:textId="77777777">
          <w:pPr>
            <w:jc w:val="center"/>
            <w:rPr>
              <w:szCs w:val="16"/>
            </w:rPr>
          </w:pPr>
        </w:p>
      </w:tc>
    </w:tr>
    <w:tr w14:paraId="44487750"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148AF21" w14:textId="77777777"/>
      </w:tc>
      <w:tc>
        <w:tcPr>
          <w:tcW w:w="5448" w:type="dxa"/>
          <w:gridSpan w:val="2"/>
          <w:shd w:val="clear" w:color="auto" w:fill="FFFFFF"/>
          <w:tcMar>
            <w:left w:w="108" w:type="dxa"/>
            <w:right w:w="108" w:type="dxa"/>
          </w:tcMar>
          <w:vAlign w:val="center"/>
        </w:tcPr>
        <w:p w:rsidR="00ED54E0" w:rsidRPr="00182B84" w:rsidP="00425DC5" w14:paraId="0C73747C" w14:textId="77777777">
          <w:pPr>
            <w:jc w:val="right"/>
            <w:rPr>
              <w:szCs w:val="16"/>
            </w:rPr>
          </w:pPr>
          <w:bookmarkStart w:id="5" w:name="bmkDate"/>
          <w:r w:rsidRPr="00182B84">
            <w:rPr>
              <w:szCs w:val="16"/>
            </w:rPr>
            <w:t>4 September 2025</w:t>
          </w:r>
          <w:bookmarkEnd w:id="5"/>
        </w:p>
      </w:tc>
    </w:tr>
    <w:tr w14:paraId="55BF276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B160FBB" w14:textId="77777777">
          <w:pPr>
            <w:jc w:val="left"/>
            <w:rPr>
              <w:b/>
            </w:rPr>
          </w:pPr>
          <w:bookmarkStart w:id="6" w:name="bmkSerial"/>
          <w:r>
            <w:rPr>
              <w:b w:val="0"/>
              <w:color w:val="FF0000"/>
            </w:rPr>
            <w:t>(25-5535)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866405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45C9794"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157F73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6B4779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F2FB3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20481040">
    <w:abstractNumId w:val="9"/>
  </w:num>
  <w:num w:numId="2" w16cid:durableId="905921149">
    <w:abstractNumId w:val="7"/>
  </w:num>
  <w:num w:numId="3" w16cid:durableId="1308827627">
    <w:abstractNumId w:val="6"/>
  </w:num>
  <w:num w:numId="4" w16cid:durableId="40714050">
    <w:abstractNumId w:val="5"/>
  </w:num>
  <w:num w:numId="5" w16cid:durableId="2141413628">
    <w:abstractNumId w:val="4"/>
  </w:num>
  <w:num w:numId="6" w16cid:durableId="1675258384">
    <w:abstractNumId w:val="12"/>
  </w:num>
  <w:num w:numId="7" w16cid:durableId="1869218420">
    <w:abstractNumId w:val="11"/>
  </w:num>
  <w:num w:numId="8" w16cid:durableId="659311716">
    <w:abstractNumId w:val="10"/>
  </w:num>
  <w:num w:numId="9" w16cid:durableId="1826698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18645">
    <w:abstractNumId w:val="13"/>
  </w:num>
  <w:num w:numId="11" w16cid:durableId="218908472">
    <w:abstractNumId w:val="8"/>
  </w:num>
  <w:num w:numId="12" w16cid:durableId="921838730">
    <w:abstractNumId w:val="3"/>
  </w:num>
  <w:num w:numId="13" w16cid:durableId="965155974">
    <w:abstractNumId w:val="2"/>
  </w:num>
  <w:num w:numId="14" w16cid:durableId="1551960811">
    <w:abstractNumId w:val="1"/>
  </w:num>
  <w:num w:numId="15" w16cid:durableId="371226044">
    <w:abstractNumId w:val="0"/>
  </w:num>
  <w:num w:numId="16" w16cid:durableId="10357701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4715E"/>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101"/>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35D3"/>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2496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ulations.gov/docket/NRC-2024-0203/document" TargetMode="External" /><Relationship Id="rId11" Type="http://schemas.openxmlformats.org/officeDocument/2006/relationships/hyperlink" Target="http://www.regulations.gov/"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nrc.gov/reading-rm/doc-collections/reg-guides/power-reactors/rg/division-1/division-1-81.html" TargetMode="External" /><Relationship Id="rId7" Type="http://schemas.openxmlformats.org/officeDocument/2006/relationships/hyperlink" Target="https://www.govinfo.gov/content/pkg/FR-2025-09-03/html/2025-16899.htm" TargetMode="External" /><Relationship Id="rId8" Type="http://schemas.openxmlformats.org/officeDocument/2006/relationships/hyperlink" Target="https://www.govinfo.gov/content/pkg/FR-2025-09-03/pdf/2025-16899.pdf" TargetMode="External" /><Relationship Id="rId9" Type="http://schemas.openxmlformats.org/officeDocument/2006/relationships/hyperlink" Target="https://eping.wto.org/en/Search?domainIds=1&amp;documentSymbol=usa%2F216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2025-09-04T09:59:00Z</dcterms:created>
  <dcterms:modified xsi:type="dcterms:W3CDTF">2025-09-04T09:59:00Z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