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199F2DE" w14:textId="77777777">
      <w:pPr>
        <w:pStyle w:val="Title"/>
        <w:rPr>
          <w:caps w:val="0"/>
          <w:kern w:val="0"/>
        </w:rPr>
      </w:pPr>
      <w:r w:rsidRPr="002F6A28">
        <w:rPr>
          <w:caps w:val="0"/>
          <w:kern w:val="0"/>
        </w:rPr>
        <w:t>NOTIFICATION</w:t>
      </w:r>
    </w:p>
    <w:p w:rsidR="009239F7" w:rsidRPr="002F6A28" w:rsidP="002F6A28" w14:paraId="5A06EDD0" w14:textId="77777777">
      <w:pPr>
        <w:jc w:val="center"/>
      </w:pPr>
      <w:r w:rsidRPr="002F6A28">
        <w:t>The following notification is being circulated in accordance with Article 10.6</w:t>
      </w:r>
    </w:p>
    <w:p w:rsidR="009239F7" w:rsidRPr="002F6A28" w:rsidP="002F6A28" w14:paraId="56DE231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3DB9209" w14:textId="77777777" w:rsidTr="00DB13FE">
        <w:tblPrEx>
          <w:tblW w:w="5000" w:type="pct"/>
          <w:tblLayout w:type="fixed"/>
          <w:tblLook w:val="0000"/>
        </w:tblPrEx>
        <w:tc>
          <w:tcPr>
            <w:tcW w:w="607" w:type="dxa"/>
            <w:tcBorders>
              <w:top w:val="double" w:sz="4" w:space="0" w:color="auto"/>
            </w:tcBorders>
          </w:tcPr>
          <w:p w:rsidR="00F85C99" w:rsidRPr="002F6A28" w:rsidP="002F6A28" w14:paraId="22F63EF2"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BD985DB"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42F10863"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B5A66D8" w14:textId="77777777" w:rsidTr="00DB13FE">
        <w:tblPrEx>
          <w:tblW w:w="5000" w:type="pct"/>
          <w:tblLayout w:type="fixed"/>
          <w:tblLook w:val="0000"/>
        </w:tblPrEx>
        <w:tc>
          <w:tcPr>
            <w:tcW w:w="607" w:type="dxa"/>
          </w:tcPr>
          <w:p w:rsidR="00F85C99" w:rsidRPr="002F6A28" w:rsidP="002F6A28" w14:paraId="097E3578" w14:textId="77777777">
            <w:pPr>
              <w:spacing w:before="120" w:after="120"/>
              <w:jc w:val="left"/>
            </w:pPr>
            <w:r w:rsidRPr="002F6A28">
              <w:rPr>
                <w:b/>
              </w:rPr>
              <w:t>2.</w:t>
            </w:r>
          </w:p>
        </w:tc>
        <w:tc>
          <w:tcPr>
            <w:tcW w:w="8373" w:type="dxa"/>
          </w:tcPr>
          <w:p w:rsidR="00F85C99" w:rsidRPr="002F6A28" w:rsidP="000C3B6C" w14:paraId="49D5FA09" w14:textId="77777777">
            <w:pPr>
              <w:spacing w:before="120" w:after="120"/>
            </w:pPr>
            <w:r w:rsidRPr="002F6A28">
              <w:rPr>
                <w:b/>
              </w:rPr>
              <w:t>Agency responsible:</w:t>
            </w:r>
            <w:r w:rsidRPr="00C379C8" w:rsidR="00EE3A11">
              <w:t xml:space="preserve"> </w:t>
            </w:r>
          </w:p>
          <w:p w:rsidR="00EE3A11" w:rsidRPr="00C379C8" w:rsidP="000C3B6C" w14:paraId="30E60303" w14:textId="77777777">
            <w:r w:rsidRPr="00C379C8">
              <w:t>European Commission</w:t>
            </w:r>
          </w:p>
          <w:p w:rsidR="00EE3A11" w:rsidRPr="00C379C8" w:rsidP="000C3B6C" w14:paraId="030E5878" w14:textId="77777777">
            <w:r w:rsidRPr="00C379C8">
              <w:t>EU-TBT Enquiry Point,</w:t>
            </w:r>
          </w:p>
          <w:p w:rsidR="00EE3A11" w:rsidRPr="00C379C8" w:rsidP="000C3B6C" w14:paraId="5864A6EB" w14:textId="77777777">
            <w:r w:rsidRPr="00C379C8">
              <w:t>Fax: +(32) 2 299 80 43,</w:t>
            </w:r>
          </w:p>
          <w:p w:rsidR="00EE3A11" w:rsidRPr="00C379C8" w:rsidP="000C3B6C" w14:paraId="28646F79" w14:textId="77777777">
            <w:r w:rsidRPr="00C379C8">
              <w:t xml:space="preserve">E-mail: </w:t>
            </w:r>
            <w:hyperlink r:id="rId6" w:history="1">
              <w:r w:rsidRPr="00C379C8">
                <w:rPr>
                  <w:color w:val="0000FF"/>
                  <w:u w:val="single"/>
                </w:rPr>
                <w:t>grow-eu-tbt@ec.europa.eu</w:t>
              </w:r>
            </w:hyperlink>
          </w:p>
          <w:p w:rsidR="00EE3A11" w:rsidRPr="00C379C8" w:rsidP="000C3B6C" w14:paraId="3015473B"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3678BEFA" w14:textId="77777777" w:rsidTr="00DB13FE">
        <w:tblPrEx>
          <w:tblW w:w="5000" w:type="pct"/>
          <w:tblLayout w:type="fixed"/>
          <w:tblLook w:val="0000"/>
        </w:tblPrEx>
        <w:tc>
          <w:tcPr>
            <w:tcW w:w="607" w:type="dxa"/>
          </w:tcPr>
          <w:p w:rsidR="00F85C99" w:rsidRPr="002F6A28" w:rsidP="002F6A28" w14:paraId="16284017" w14:textId="77777777">
            <w:pPr>
              <w:spacing w:before="120" w:after="120"/>
              <w:jc w:val="left"/>
              <w:rPr>
                <w:b/>
              </w:rPr>
            </w:pPr>
            <w:r w:rsidRPr="002F6A28">
              <w:rPr>
                <w:b/>
              </w:rPr>
              <w:t>3.</w:t>
            </w:r>
          </w:p>
        </w:tc>
        <w:tc>
          <w:tcPr>
            <w:tcW w:w="8373" w:type="dxa"/>
          </w:tcPr>
          <w:p w:rsidR="00F85C99" w:rsidRPr="0058336F" w:rsidP="002F6A28" w14:paraId="212F811B"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3D15EE8" w14:textId="77777777" w:rsidTr="00DB13FE">
        <w:tblPrEx>
          <w:tblW w:w="5000" w:type="pct"/>
          <w:tblLayout w:type="fixed"/>
          <w:tblLook w:val="0000"/>
        </w:tblPrEx>
        <w:tc>
          <w:tcPr>
            <w:tcW w:w="607" w:type="dxa"/>
          </w:tcPr>
          <w:p w:rsidR="00F85C99" w:rsidRPr="002F6A28" w:rsidP="002F6A28" w14:paraId="51435250" w14:textId="77777777">
            <w:pPr>
              <w:spacing w:before="120" w:after="120"/>
              <w:jc w:val="left"/>
            </w:pPr>
            <w:r w:rsidRPr="002F6A28">
              <w:rPr>
                <w:b/>
              </w:rPr>
              <w:t>4.</w:t>
            </w:r>
          </w:p>
        </w:tc>
        <w:tc>
          <w:tcPr>
            <w:tcW w:w="8373" w:type="dxa"/>
          </w:tcPr>
          <w:p w:rsidR="00F85C99" w:rsidRPr="002F6A28" w:rsidP="002F6A28" w14:paraId="1EB9AA9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Radio equipment for trains.</w:t>
            </w:r>
            <w:r w:rsidRPr="00C379C8" w:rsidR="00EE3A11">
              <w:rPr>
                <w:b/>
                <w:bCs/>
              </w:rPr>
              <w:t xml:space="preserve"> </w:t>
            </w:r>
          </w:p>
        </w:tc>
      </w:tr>
      <w:tr w14:paraId="5E1EF9B6" w14:textId="77777777" w:rsidTr="00DB13FE">
        <w:tblPrEx>
          <w:tblW w:w="5000" w:type="pct"/>
          <w:tblLayout w:type="fixed"/>
          <w:tblLook w:val="0000"/>
        </w:tblPrEx>
        <w:tc>
          <w:tcPr>
            <w:tcW w:w="607" w:type="dxa"/>
          </w:tcPr>
          <w:p w:rsidR="00F85C99" w:rsidRPr="002F6A28" w:rsidP="002F6A28" w14:paraId="2232C925" w14:textId="77777777">
            <w:pPr>
              <w:spacing w:before="120" w:after="120"/>
              <w:jc w:val="left"/>
            </w:pPr>
            <w:r w:rsidRPr="002F6A28">
              <w:rPr>
                <w:b/>
              </w:rPr>
              <w:t>5.</w:t>
            </w:r>
          </w:p>
        </w:tc>
        <w:tc>
          <w:tcPr>
            <w:tcW w:w="8373" w:type="dxa"/>
          </w:tcPr>
          <w:p w:rsidR="00F85C99" w:rsidP="002F6A28" w14:paraId="115B4246"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Implementing Decision amending Decision (EU) 2021/1730, as regards additional use cases in the paired 874.4-880 MHz and 919.4-925 MHz frequency bands for Railway Mobile Radio; (3 page(s), in English), (6 page(s), in English)</w:t>
            </w:r>
          </w:p>
          <w:p w:rsidR="000C3B6C" w:rsidRPr="000C3B6C" w:rsidP="002F6A28" w14:paraId="750A22E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4B3C88" w:rsidRPr="00CE6C29" w:rsidP="002F6A28" w14:paraId="20E945CB" w14:textId="77777777">
            <w:pPr>
              <w:pBdr>
                <w:top w:val="none" w:sz="0" w:space="4" w:color="auto"/>
              </w:pBdr>
              <w:rPr>
                <w:iCs/>
              </w:rPr>
            </w:pPr>
            <w:hyperlink r:id="rId8" w:tgtFrame="_blank" w:history="1">
              <w:r w:rsidRPr="00CE6C29">
                <w:rPr>
                  <w:iCs/>
                  <w:color w:val="0000FF"/>
                  <w:u w:val="single"/>
                </w:rPr>
                <w:t>https://members.wto.org/crnattachments/2025/TBT/EEC/25_05829_01_e.pdf</w:t>
              </w:r>
            </w:hyperlink>
          </w:p>
          <w:p w:rsidR="004B3C88" w:rsidRPr="00CE6C29" w:rsidP="002F6A28" w14:paraId="302742CE" w14:textId="77777777">
            <w:pPr>
              <w:pBdr>
                <w:bottom w:val="none" w:sz="0" w:space="4" w:color="auto"/>
              </w:pBdr>
              <w:rPr>
                <w:iCs/>
              </w:rPr>
            </w:pPr>
            <w:hyperlink r:id="rId9" w:tgtFrame="_blank" w:history="1">
              <w:r w:rsidRPr="00CE6C29">
                <w:rPr>
                  <w:iCs/>
                  <w:color w:val="0000FF"/>
                  <w:u w:val="single"/>
                </w:rPr>
                <w:t>https://members.wto.org/crnattachments/2025/TBT/EEC/25_05829_00_e.pdf</w:t>
              </w:r>
            </w:hyperlink>
          </w:p>
          <w:p w:rsidR="004B3C88" w:rsidRPr="00CE6C29" w:rsidP="002F6A28" w14:paraId="6D3AAC4E" w14:textId="77777777">
            <w:pPr>
              <w:rPr>
                <w:iCs/>
              </w:rPr>
            </w:pPr>
            <w:r w:rsidRPr="00CE6C29">
              <w:rPr>
                <w:iCs/>
              </w:rPr>
              <w:t>European Commission</w:t>
            </w:r>
          </w:p>
          <w:p w:rsidR="004B3C88" w:rsidRPr="00CE6C29" w:rsidP="002F6A28" w14:paraId="7EF11382" w14:textId="77777777">
            <w:pPr>
              <w:rPr>
                <w:iCs/>
              </w:rPr>
            </w:pPr>
            <w:r w:rsidRPr="00CE6C29">
              <w:rPr>
                <w:iCs/>
              </w:rPr>
              <w:t>EU-TBT Enquiry Point</w:t>
            </w:r>
          </w:p>
          <w:p w:rsidR="004B3C88" w:rsidRPr="00CE6C29" w:rsidP="002F6A28" w14:paraId="01866714" w14:textId="77777777">
            <w:pPr>
              <w:rPr>
                <w:iCs/>
              </w:rPr>
            </w:pPr>
            <w:r w:rsidRPr="00CE6C29">
              <w:rPr>
                <w:iCs/>
              </w:rPr>
              <w:t>Fax: + (32) 2 299 80 43</w:t>
            </w:r>
          </w:p>
          <w:p w:rsidR="004B3C88" w:rsidRPr="00CE6C29" w:rsidP="002F6A28" w14:paraId="1C2D1FB1" w14:textId="77777777">
            <w:pPr>
              <w:rPr>
                <w:iCs/>
              </w:rPr>
            </w:pPr>
            <w:r w:rsidRPr="00CE6C29">
              <w:rPr>
                <w:iCs/>
              </w:rPr>
              <w:t xml:space="preserve">E-mail: </w:t>
            </w:r>
            <w:hyperlink r:id="rId6" w:history="1">
              <w:r w:rsidRPr="00CE6C29">
                <w:rPr>
                  <w:iCs/>
                  <w:color w:val="0000FF"/>
                  <w:u w:val="single"/>
                </w:rPr>
                <w:t>grow-eu-tbt@ec.europa.eu</w:t>
              </w:r>
            </w:hyperlink>
          </w:p>
          <w:p w:rsidR="004B3C88" w:rsidRPr="00CE6C29" w:rsidP="002F6A28" w14:paraId="0A259056"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1EBF78AA" w14:textId="77777777" w:rsidTr="00DB13FE">
        <w:tblPrEx>
          <w:tblW w:w="5000" w:type="pct"/>
          <w:tblLayout w:type="fixed"/>
          <w:tblLook w:val="0000"/>
        </w:tblPrEx>
        <w:tc>
          <w:tcPr>
            <w:tcW w:w="607" w:type="dxa"/>
          </w:tcPr>
          <w:p w:rsidR="00F85C99" w:rsidRPr="002F6A28" w:rsidP="002F6A28" w14:paraId="655EA1BB" w14:textId="77777777">
            <w:pPr>
              <w:spacing w:before="120" w:after="120"/>
              <w:jc w:val="left"/>
              <w:rPr>
                <w:b/>
              </w:rPr>
            </w:pPr>
            <w:r w:rsidRPr="002F6A28">
              <w:rPr>
                <w:b/>
              </w:rPr>
              <w:t>6.</w:t>
            </w:r>
          </w:p>
        </w:tc>
        <w:tc>
          <w:tcPr>
            <w:tcW w:w="8373" w:type="dxa"/>
          </w:tcPr>
          <w:p w:rsidR="00F85C99" w:rsidRPr="002F6A28" w:rsidP="002F6A28" w14:paraId="7A6F6696" w14:textId="77777777">
            <w:pPr>
              <w:spacing w:before="120" w:after="120"/>
              <w:rPr>
                <w:b/>
              </w:rPr>
            </w:pPr>
            <w:r w:rsidRPr="002F6A28">
              <w:rPr>
                <w:b/>
              </w:rPr>
              <w:t>Description of content:</w:t>
            </w:r>
            <w:r w:rsidRPr="00C379C8" w:rsidR="00FE448B">
              <w:t xml:space="preserve"> To introduce additional use cases based on the latest evolution of railway mobile radio technology for the 874.4-880 MHz and 919.4-925 MHz frequency bands (the '900 MHz frequency band') for the future railway mobile communications system (FRMCS).</w:t>
            </w:r>
          </w:p>
        </w:tc>
      </w:tr>
      <w:tr w14:paraId="41E75593" w14:textId="77777777" w:rsidTr="00DB13FE">
        <w:tblPrEx>
          <w:tblW w:w="5000" w:type="pct"/>
          <w:tblLayout w:type="fixed"/>
          <w:tblLook w:val="0000"/>
        </w:tblPrEx>
        <w:tc>
          <w:tcPr>
            <w:tcW w:w="607" w:type="dxa"/>
          </w:tcPr>
          <w:p w:rsidR="00F85C99" w:rsidRPr="002F6A28" w:rsidP="002F6A28" w14:paraId="3284C216" w14:textId="77777777">
            <w:pPr>
              <w:spacing w:before="120" w:after="120"/>
              <w:jc w:val="left"/>
              <w:rPr>
                <w:b/>
              </w:rPr>
            </w:pPr>
            <w:r w:rsidRPr="002F6A28">
              <w:rPr>
                <w:b/>
              </w:rPr>
              <w:t>7.</w:t>
            </w:r>
          </w:p>
        </w:tc>
        <w:tc>
          <w:tcPr>
            <w:tcW w:w="8373" w:type="dxa"/>
          </w:tcPr>
          <w:p w:rsidR="00F85C99" w:rsidRPr="002F6A28" w:rsidP="002F6A28" w14:paraId="2A16A5E7" w14:textId="77777777">
            <w:pPr>
              <w:spacing w:before="120" w:after="120"/>
              <w:rPr>
                <w:b/>
              </w:rPr>
            </w:pPr>
            <w:r w:rsidRPr="002F6A28">
              <w:rPr>
                <w:b/>
              </w:rPr>
              <w:t>Objective and rationale, including the nature of urgent problems where applicable:</w:t>
            </w:r>
            <w:r w:rsidRPr="00C379C8" w:rsidR="00EE3A11">
              <w:t xml:space="preserve"> This Decision is addressed to the EU Member States. The purpose of this Decision is to harmonise the technical conditions for the availability and efficient use of radio spectrum in the 874.4-880.0 MHz, 919.4-925.0 MHz for the use of channels of 3 MHz using 5G New Radio and extending the use of narrowband technologies other than narrowband Internet of Things (NB-IoT).; Protection of human health or safety; Quality requirements; Harmonization</w:t>
            </w:r>
          </w:p>
        </w:tc>
      </w:tr>
      <w:tr w14:paraId="11CF849F" w14:textId="77777777" w:rsidTr="00DB13FE">
        <w:tblPrEx>
          <w:tblW w:w="5000" w:type="pct"/>
          <w:tblLayout w:type="fixed"/>
          <w:tblLook w:val="0000"/>
        </w:tblPrEx>
        <w:tc>
          <w:tcPr>
            <w:tcW w:w="607" w:type="dxa"/>
          </w:tcPr>
          <w:p w:rsidR="00F85C99" w:rsidRPr="002F6A28" w:rsidP="009E75ED" w14:paraId="62CACD41" w14:textId="77777777">
            <w:pPr>
              <w:spacing w:before="120" w:after="120"/>
              <w:jc w:val="left"/>
              <w:rPr>
                <w:b/>
              </w:rPr>
            </w:pPr>
            <w:r w:rsidRPr="002F6A28">
              <w:rPr>
                <w:b/>
              </w:rPr>
              <w:t>8.</w:t>
            </w:r>
          </w:p>
        </w:tc>
        <w:tc>
          <w:tcPr>
            <w:tcW w:w="8373" w:type="dxa"/>
          </w:tcPr>
          <w:p w:rsidR="000C3B6C" w:rsidRPr="00EC00D2" w:rsidP="007F13E8" w14:paraId="19312330" w14:textId="77777777">
            <w:pPr>
              <w:spacing w:before="120" w:after="120"/>
              <w:rPr>
                <w:bCs/>
              </w:rPr>
            </w:pPr>
            <w:r w:rsidRPr="002F6A28">
              <w:rPr>
                <w:b/>
              </w:rPr>
              <w:t>Relevant documents:</w:t>
            </w:r>
            <w:r w:rsidRPr="002F6A28" w:rsidR="00EE3A11">
              <w:t xml:space="preserve"> </w:t>
            </w:r>
          </w:p>
          <w:p w:rsidR="00EE3A11" w:rsidRPr="002F6A28" w:rsidP="007F13E8" w14:paraId="0D1FA37C" w14:textId="77777777">
            <w:pPr>
              <w:spacing w:before="120" w:after="120"/>
            </w:pPr>
            <w:r w:rsidRPr="002F6A28">
              <w:t>Draft Commission Implementing Decision as mentioned above.</w:t>
            </w:r>
          </w:p>
        </w:tc>
      </w:tr>
      <w:tr w14:paraId="2D838A30" w14:textId="77777777" w:rsidTr="00DB13FE">
        <w:tblPrEx>
          <w:tblW w:w="5000" w:type="pct"/>
          <w:tblLayout w:type="fixed"/>
          <w:tblLook w:val="0000"/>
        </w:tblPrEx>
        <w:tc>
          <w:tcPr>
            <w:tcW w:w="607" w:type="dxa"/>
          </w:tcPr>
          <w:p w:rsidR="00EE3A11" w:rsidRPr="002F6A28" w:rsidP="002F6A28" w14:paraId="611F808E" w14:textId="77777777">
            <w:pPr>
              <w:spacing w:before="120" w:after="120"/>
              <w:jc w:val="left"/>
              <w:rPr>
                <w:b/>
              </w:rPr>
            </w:pPr>
            <w:r w:rsidRPr="002F6A28">
              <w:rPr>
                <w:b/>
              </w:rPr>
              <w:t>9.</w:t>
            </w:r>
          </w:p>
        </w:tc>
        <w:tc>
          <w:tcPr>
            <w:tcW w:w="8373" w:type="dxa"/>
          </w:tcPr>
          <w:p w:rsidR="00EE3A11" w:rsidRPr="002F6A28" w:rsidP="008953C4" w14:paraId="1093BBA7" w14:textId="77777777">
            <w:pPr>
              <w:spacing w:before="120" w:after="120"/>
            </w:pPr>
            <w:r w:rsidRPr="002F6A28">
              <w:rPr>
                <w:b/>
              </w:rPr>
              <w:t>Proposed date of adoption:</w:t>
            </w:r>
            <w:r w:rsidRPr="00C379C8">
              <w:t xml:space="preserve"> November 2025</w:t>
            </w:r>
          </w:p>
          <w:p w:rsidR="00EE3A11" w:rsidRPr="002F6A28" w:rsidP="008953C4" w14:paraId="0E92B702" w14:textId="77777777">
            <w:pPr>
              <w:spacing w:after="120"/>
            </w:pPr>
            <w:r w:rsidRPr="002F6A28">
              <w:rPr>
                <w:b/>
              </w:rPr>
              <w:t>Proposed date of entry into force:</w:t>
            </w:r>
            <w:r w:rsidRPr="00C379C8">
              <w:t xml:space="preserve"> November 2025</w:t>
            </w:r>
          </w:p>
        </w:tc>
      </w:tr>
      <w:tr w14:paraId="3EA16FDA" w14:textId="77777777" w:rsidTr="00DB13FE">
        <w:tblPrEx>
          <w:tblW w:w="5000" w:type="pct"/>
          <w:tblLayout w:type="fixed"/>
          <w:tblLook w:val="0000"/>
        </w:tblPrEx>
        <w:tc>
          <w:tcPr>
            <w:tcW w:w="607" w:type="dxa"/>
            <w:tcBorders>
              <w:bottom w:val="double" w:sz="4" w:space="0" w:color="auto"/>
            </w:tcBorders>
          </w:tcPr>
          <w:p w:rsidR="00F85C99" w:rsidRPr="002F6A28" w:rsidP="002F6A28" w14:paraId="2A5931B3"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AD466D6"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179EC2C" w14:textId="77777777">
            <w:pPr>
              <w:spacing w:before="120" w:after="120"/>
              <w:rPr>
                <w:bCs/>
              </w:rPr>
            </w:pPr>
            <w:r w:rsidRPr="002F6A28">
              <w:rPr>
                <w:b/>
              </w:rPr>
              <w:t>Final date for comments:</w:t>
            </w:r>
            <w:r w:rsidRPr="00C379C8" w:rsidR="00EE3A11">
              <w:t xml:space="preserve"> 2 November 2025</w:t>
            </w:r>
          </w:p>
          <w:p w:rsidR="000C3B6C" w:rsidRPr="00E3324D" w:rsidP="000C3B6C" w14:paraId="3D6611F3"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FCB797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BFE7AAF" w14:textId="77777777">
            <w:r w:rsidRPr="00CE6C29">
              <w:t>European Commission,</w:t>
            </w:r>
          </w:p>
          <w:p w:rsidR="00CE6C29" w:rsidRPr="00CE6C29" w:rsidP="000C3B6C" w14:paraId="3CB53981" w14:textId="77777777">
            <w:r w:rsidRPr="00CE6C29">
              <w:t>EU-TBT Enquiry Point,</w:t>
            </w:r>
          </w:p>
          <w:p w:rsidR="00CE6C29" w:rsidRPr="00CE6C29" w:rsidP="000C3B6C" w14:paraId="0F6BF0F8" w14:textId="77777777">
            <w:r w:rsidRPr="00CE6C29">
              <w:t>Fax: + (32) 2 299 80 43,</w:t>
            </w:r>
          </w:p>
          <w:p w:rsidR="00CE6C29" w:rsidRPr="00CE6C29" w:rsidP="000C3B6C" w14:paraId="3B080B2C" w14:textId="77777777">
            <w:pPr>
              <w:spacing w:after="120"/>
            </w:pPr>
            <w:r w:rsidRPr="00CE6C29">
              <w:t xml:space="preserve">E-mail: </w:t>
            </w:r>
            <w:hyperlink r:id="rId6" w:history="1">
              <w:r w:rsidRPr="00CE6C29">
                <w:rPr>
                  <w:color w:val="0000FF"/>
                  <w:u w:val="single"/>
                </w:rPr>
                <w:t>grow-eu-tbt@ec.europa.eu</w:t>
              </w:r>
            </w:hyperlink>
          </w:p>
        </w:tc>
      </w:tr>
    </w:tbl>
    <w:p w:rsidR="00EE3A11" w:rsidRPr="002F6A28" w:rsidP="00887259" w14:paraId="524CC201"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478ECE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72251A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8C759E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78C1BBE" w14:textId="77777777">
    <w:pPr>
      <w:pStyle w:val="Header"/>
      <w:pBdr>
        <w:bottom w:val="single" w:sz="4" w:space="1" w:color="auto"/>
      </w:pBdr>
      <w:tabs>
        <w:tab w:val="clear" w:pos="4513"/>
        <w:tab w:val="clear" w:pos="9027"/>
      </w:tabs>
      <w:jc w:val="center"/>
    </w:pPr>
    <w:r w:rsidRPr="002F6A28">
      <w:t>tbtSymbol</w:t>
    </w:r>
  </w:p>
  <w:p w:rsidR="009239F7" w:rsidRPr="002F6A28" w:rsidP="009239F7" w14:paraId="55112F46" w14:textId="77777777">
    <w:pPr>
      <w:pStyle w:val="Header"/>
      <w:pBdr>
        <w:bottom w:val="single" w:sz="4" w:space="1" w:color="auto"/>
      </w:pBdr>
      <w:tabs>
        <w:tab w:val="clear" w:pos="4513"/>
        <w:tab w:val="clear" w:pos="9027"/>
      </w:tabs>
      <w:jc w:val="center"/>
    </w:pPr>
  </w:p>
  <w:p w:rsidR="009239F7" w:rsidRPr="002F6A28" w:rsidP="009239F7" w14:paraId="0F4F75F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66D168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32016A9" w14:textId="77777777">
    <w:pPr>
      <w:pStyle w:val="Header"/>
      <w:pBdr>
        <w:bottom w:val="single" w:sz="4" w:space="1" w:color="auto"/>
      </w:pBdr>
      <w:tabs>
        <w:tab w:val="clear" w:pos="4513"/>
        <w:tab w:val="clear" w:pos="9027"/>
      </w:tabs>
      <w:jc w:val="center"/>
    </w:pPr>
    <w:bookmarkStart w:id="0" w:name="spsSymbolHeader"/>
    <w:r w:rsidRPr="002F6A28">
      <w:t>G/TBT/N/EU/1153</w:t>
    </w:r>
    <w:bookmarkEnd w:id="0"/>
  </w:p>
  <w:p w:rsidR="009239F7" w:rsidRPr="002F6A28" w:rsidP="009239F7" w14:paraId="0111F178" w14:textId="77777777">
    <w:pPr>
      <w:pStyle w:val="Header"/>
      <w:pBdr>
        <w:bottom w:val="single" w:sz="4" w:space="1" w:color="auto"/>
      </w:pBdr>
      <w:tabs>
        <w:tab w:val="clear" w:pos="4513"/>
        <w:tab w:val="clear" w:pos="9027"/>
      </w:tabs>
      <w:jc w:val="center"/>
    </w:pPr>
  </w:p>
  <w:p w:rsidR="009239F7" w:rsidRPr="002F6A28" w:rsidP="009239F7" w14:paraId="2869322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6B6F84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78EF03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9A3C37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A8DA8BB" w14:textId="77777777">
          <w:pPr>
            <w:jc w:val="right"/>
            <w:rPr>
              <w:b/>
              <w:color w:val="FF0000"/>
              <w:szCs w:val="16"/>
            </w:rPr>
          </w:pPr>
        </w:p>
      </w:tc>
    </w:tr>
    <w:bookmarkEnd w:id="1"/>
    <w:tr w14:paraId="55EBD96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1A339F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DF472FA" w14:textId="77777777">
          <w:pPr>
            <w:jc w:val="right"/>
            <w:rPr>
              <w:b/>
              <w:szCs w:val="16"/>
            </w:rPr>
          </w:pPr>
        </w:p>
      </w:tc>
    </w:tr>
    <w:tr w14:paraId="7FC1791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3FF4DA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45303B2" w14:textId="77777777">
          <w:pPr>
            <w:jc w:val="right"/>
            <w:rPr>
              <w:b/>
              <w:szCs w:val="16"/>
            </w:rPr>
          </w:pPr>
          <w:bookmarkStart w:id="2" w:name="bmkSymbols"/>
          <w:r w:rsidRPr="002F6A28">
            <w:rPr>
              <w:b/>
              <w:szCs w:val="16"/>
            </w:rPr>
            <w:t>G/TBT/N/EU/1153</w:t>
          </w:r>
          <w:bookmarkEnd w:id="2"/>
        </w:p>
      </w:tc>
    </w:tr>
    <w:tr w14:paraId="3274D49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C4F2E63" w14:textId="77777777"/>
      </w:tc>
      <w:tc>
        <w:tcPr>
          <w:tcW w:w="5448" w:type="dxa"/>
          <w:gridSpan w:val="2"/>
          <w:shd w:val="clear" w:color="auto" w:fill="FFFFFF"/>
          <w:tcMar>
            <w:left w:w="108" w:type="dxa"/>
            <w:right w:w="108" w:type="dxa"/>
          </w:tcMar>
          <w:vAlign w:val="center"/>
        </w:tcPr>
        <w:p w:rsidR="00ED54E0" w:rsidRPr="009239F7" w:rsidP="00B801E9" w14:paraId="44B36D4C" w14:textId="77777777">
          <w:pPr>
            <w:jc w:val="right"/>
            <w:rPr>
              <w:szCs w:val="16"/>
            </w:rPr>
          </w:pPr>
          <w:bookmarkStart w:id="3" w:name="spsDateDistribution"/>
          <w:bookmarkStart w:id="4" w:name="bmkDate"/>
          <w:r w:rsidRPr="009239F7">
            <w:rPr>
              <w:szCs w:val="16"/>
            </w:rPr>
            <w:t>3 September 2025</w:t>
          </w:r>
          <w:bookmarkEnd w:id="3"/>
          <w:bookmarkEnd w:id="4"/>
        </w:p>
      </w:tc>
    </w:tr>
    <w:tr w14:paraId="6C546EC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70BEEAF" w14:textId="77777777">
          <w:pPr>
            <w:jc w:val="left"/>
            <w:rPr>
              <w:b/>
            </w:rPr>
          </w:pPr>
          <w:bookmarkStart w:id="5" w:name="bmkSerial"/>
          <w:r>
            <w:rPr>
              <w:b w:val="0"/>
              <w:color w:val="FF0000"/>
            </w:rPr>
            <w:t>(25-5506)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FD07CE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037656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E2A9F5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43068F5"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83B126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96457538">
    <w:abstractNumId w:val="9"/>
  </w:num>
  <w:num w:numId="2" w16cid:durableId="1424302066">
    <w:abstractNumId w:val="7"/>
  </w:num>
  <w:num w:numId="3" w16cid:durableId="1643733207">
    <w:abstractNumId w:val="6"/>
  </w:num>
  <w:num w:numId="4" w16cid:durableId="1406412465">
    <w:abstractNumId w:val="5"/>
  </w:num>
  <w:num w:numId="5" w16cid:durableId="1405496233">
    <w:abstractNumId w:val="4"/>
  </w:num>
  <w:num w:numId="6" w16cid:durableId="1382900546">
    <w:abstractNumId w:val="12"/>
  </w:num>
  <w:num w:numId="7" w16cid:durableId="1372614035">
    <w:abstractNumId w:val="11"/>
  </w:num>
  <w:num w:numId="8" w16cid:durableId="814569328">
    <w:abstractNumId w:val="10"/>
  </w:num>
  <w:num w:numId="9" w16cid:durableId="11923051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4219270">
    <w:abstractNumId w:val="13"/>
  </w:num>
  <w:num w:numId="11" w16cid:durableId="1035812100">
    <w:abstractNumId w:val="8"/>
  </w:num>
  <w:num w:numId="12" w16cid:durableId="1871409175">
    <w:abstractNumId w:val="3"/>
  </w:num>
  <w:num w:numId="13" w16cid:durableId="1813667843">
    <w:abstractNumId w:val="2"/>
  </w:num>
  <w:num w:numId="14" w16cid:durableId="233708272">
    <w:abstractNumId w:val="1"/>
  </w:num>
  <w:num w:numId="15" w16cid:durableId="1573925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B3C88"/>
    <w:rsid w:val="004C274C"/>
    <w:rsid w:val="004C27A4"/>
    <w:rsid w:val="004E423E"/>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2E3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238D"/>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3147"/>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5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51C8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5/TBT/EEC/25_05829_01_e.pdf" TargetMode="External" /><Relationship Id="rId9" Type="http://schemas.openxmlformats.org/officeDocument/2006/relationships/hyperlink" Target="https://members.wto.org/crnattachments/2025/TBT/EEC/25_05829_00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1876E1FF-6E5D-4845-8F5B-81F85C11334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371</Words>
  <Characters>2310</Characters>
  <Application>Microsoft Office Word</Application>
  <DocSecurity>0</DocSecurity>
  <Lines>63</Lines>
  <Paragraphs>45</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2025-09-03T12:02:00Z</dcterms:created>
  <dcterms:modified xsi:type="dcterms:W3CDTF">2025-09-03T12:12:00Z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