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4B23719" w14:textId="77777777">
      <w:pPr>
        <w:pStyle w:val="Title"/>
      </w:pPr>
      <w:r w:rsidRPr="002F663C">
        <w:t>NOTIFICATION</w:t>
      </w:r>
    </w:p>
    <w:p w:rsidR="002F663C" w:rsidRPr="002F663C" w:rsidP="00DD3DD7" w14:paraId="03F88F21" w14:textId="77777777">
      <w:pPr>
        <w:pStyle w:val="Title3"/>
      </w:pPr>
      <w:r w:rsidRPr="002F663C">
        <w:t>Addendum</w:t>
      </w:r>
    </w:p>
    <w:p w:rsidR="002F663C" w:rsidP="001E2E4A" w14:paraId="71979EAE"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29 August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60AF742B" w14:textId="77777777">
      <w:pPr>
        <w:rPr>
          <w:rFonts w:eastAsia="Calibri" w:cs="Times New Roman"/>
        </w:rPr>
      </w:pPr>
    </w:p>
    <w:p w:rsidR="002F663C" w:rsidRPr="002F663C" w:rsidP="002F663C" w14:paraId="4608724F" w14:textId="77777777">
      <w:pPr>
        <w:jc w:val="center"/>
        <w:rPr>
          <w:rFonts w:eastAsia="Calibri" w:cs="Times New Roman"/>
          <w:b/>
        </w:rPr>
      </w:pPr>
      <w:r w:rsidRPr="002F663C">
        <w:rPr>
          <w:rFonts w:eastAsia="Calibri" w:cs="Times New Roman"/>
          <w:b/>
        </w:rPr>
        <w:t>_______________</w:t>
      </w:r>
    </w:p>
    <w:p w:rsidR="002F663C" w:rsidP="002F663C" w14:paraId="4D160EA0" w14:textId="77777777">
      <w:pPr>
        <w:rPr>
          <w:rFonts w:eastAsia="Calibri" w:cs="Times New Roman"/>
        </w:rPr>
      </w:pPr>
    </w:p>
    <w:p w:rsidR="00C14444" w:rsidRPr="002F663C" w:rsidP="002F663C" w14:paraId="623BE65E" w14:textId="77777777">
      <w:pPr>
        <w:rPr>
          <w:rFonts w:eastAsia="Calibri" w:cs="Times New Roman"/>
        </w:rPr>
      </w:pPr>
    </w:p>
    <w:p w:rsidR="002F663C" w:rsidRPr="002F663C" w:rsidP="002F663C" w14:paraId="2F01809C"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Expediting Initial Processing of Satellite and Earth Station Applications</w:t>
      </w:r>
    </w:p>
    <w:p w:rsidR="002F663C" w:rsidRPr="002F663C" w:rsidP="002F663C" w14:paraId="67AFC00E"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29850A4"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5C67BBB1"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D9D2B6F" w14:textId="77777777" w:rsidTr="00E9471B">
        <w:tblPrEx>
          <w:tblW w:w="9049" w:type="dxa"/>
          <w:tblLayout w:type="fixed"/>
          <w:tblLook w:val="04A0"/>
        </w:tblPrEx>
        <w:tc>
          <w:tcPr>
            <w:tcW w:w="851" w:type="dxa"/>
          </w:tcPr>
          <w:p w:rsidR="002F663C" w:rsidRPr="00711F9C" w:rsidP="00C14444" w14:paraId="785A672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3F3489F4"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B9F5621" w14:textId="77777777" w:rsidTr="00E9471B">
        <w:tblPrEx>
          <w:tblW w:w="9049" w:type="dxa"/>
          <w:tblLayout w:type="fixed"/>
          <w:tblLook w:val="04A0"/>
        </w:tblPrEx>
        <w:tc>
          <w:tcPr>
            <w:tcW w:w="851" w:type="dxa"/>
          </w:tcPr>
          <w:p w:rsidR="002F663C" w:rsidRPr="00711F9C" w:rsidP="00C14444" w14:paraId="71981A5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3374D5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30D9CD03" w14:textId="77777777" w:rsidTr="00E9471B">
        <w:tblPrEx>
          <w:tblW w:w="9049" w:type="dxa"/>
          <w:tblLayout w:type="fixed"/>
          <w:tblLook w:val="04A0"/>
        </w:tblPrEx>
        <w:tc>
          <w:tcPr>
            <w:tcW w:w="851" w:type="dxa"/>
          </w:tcPr>
          <w:p w:rsidR="002F663C" w:rsidRPr="00711F9C" w:rsidP="00C14444" w14:paraId="1AB80123"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0106AB1"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27 August 2025</w:t>
            </w:r>
          </w:p>
        </w:tc>
      </w:tr>
      <w:tr w14:paraId="74B66D1F" w14:textId="77777777" w:rsidTr="00E9471B">
        <w:tblPrEx>
          <w:tblW w:w="9049" w:type="dxa"/>
          <w:tblLayout w:type="fixed"/>
          <w:tblLook w:val="04A0"/>
        </w:tblPrEx>
        <w:tc>
          <w:tcPr>
            <w:tcW w:w="851" w:type="dxa"/>
          </w:tcPr>
          <w:p w:rsidR="002F663C" w:rsidRPr="00711F9C" w:rsidP="00C14444" w14:paraId="2E9AB539"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02709FA"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26 September 2025</w:t>
            </w:r>
          </w:p>
        </w:tc>
      </w:tr>
      <w:tr w14:paraId="1E97B137" w14:textId="77777777" w:rsidTr="00E9471B">
        <w:tblPrEx>
          <w:tblW w:w="9049" w:type="dxa"/>
          <w:tblLayout w:type="fixed"/>
          <w:tblLook w:val="04A0"/>
        </w:tblPrEx>
        <w:tc>
          <w:tcPr>
            <w:tcW w:w="851" w:type="dxa"/>
          </w:tcPr>
          <w:p w:rsidR="002F663C" w:rsidRPr="00711F9C" w:rsidP="00C14444" w14:paraId="15852C09"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30F71B2E"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12DA793F" w14:textId="77777777">
            <w:pPr>
              <w:spacing w:before="120" w:after="120"/>
              <w:rPr>
                <w:rFonts w:eastAsia="Calibri" w:cs="Times New Roman"/>
              </w:rPr>
            </w:pPr>
            <w:hyperlink r:id="rId6" w:tgtFrame="_blank" w:history="1">
              <w:r w:rsidRPr="002F663C">
                <w:rPr>
                  <w:rFonts w:eastAsia="Calibri" w:cs="Times New Roman"/>
                  <w:color w:val="0000FF"/>
                  <w:u w:val="single"/>
                </w:rPr>
                <w:t>https://members.wto.org/crnattachments/2025/TBT/USA/final_measure/25_05759_00_e.pdf</w:t>
              </w:r>
            </w:hyperlink>
          </w:p>
          <w:p w:rsidR="002F663C" w:rsidRPr="002F663C" w:rsidP="00EB7B40" w14:paraId="626A2EF1"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https://members.wto.org/crnattachments/2025/TBT/USA/final_measure/25_05759_01_e.pdf</w:t>
              </w:r>
            </w:hyperlink>
          </w:p>
        </w:tc>
      </w:tr>
      <w:tr w14:paraId="31770129" w14:textId="77777777" w:rsidTr="00E9471B">
        <w:tblPrEx>
          <w:tblW w:w="9049" w:type="dxa"/>
          <w:tblLayout w:type="fixed"/>
          <w:tblLook w:val="04A0"/>
        </w:tblPrEx>
        <w:tc>
          <w:tcPr>
            <w:tcW w:w="851" w:type="dxa"/>
          </w:tcPr>
          <w:p w:rsidR="002F663C" w:rsidRPr="00711F9C" w:rsidP="00C14444" w14:paraId="3C76406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F919CD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3039B8E5"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400F801" w14:textId="77777777" w:rsidTr="00E9471B">
        <w:tblPrEx>
          <w:tblW w:w="9049" w:type="dxa"/>
          <w:tblLayout w:type="fixed"/>
          <w:tblLook w:val="04A0"/>
        </w:tblPrEx>
        <w:tc>
          <w:tcPr>
            <w:tcW w:w="851" w:type="dxa"/>
          </w:tcPr>
          <w:p w:rsidR="002F663C" w:rsidRPr="00711F9C" w:rsidP="00C14444" w14:paraId="3D743ED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F9A7EE4"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5502B5B0"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1A1B01FD" w14:textId="77777777" w:rsidTr="00E9471B">
        <w:tblPrEx>
          <w:tblW w:w="9049" w:type="dxa"/>
          <w:tblLayout w:type="fixed"/>
          <w:tblLook w:val="04A0"/>
        </w:tblPrEx>
        <w:tc>
          <w:tcPr>
            <w:tcW w:w="851" w:type="dxa"/>
          </w:tcPr>
          <w:p w:rsidR="002F663C" w:rsidRPr="00711F9C" w:rsidP="00C14444" w14:paraId="14371AC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210A102B"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F106FF7" w14:textId="77777777" w:rsidTr="00E9471B">
        <w:tblPrEx>
          <w:tblW w:w="9049" w:type="dxa"/>
          <w:tblLayout w:type="fixed"/>
          <w:tblLook w:val="04A0"/>
        </w:tblPrEx>
        <w:tc>
          <w:tcPr>
            <w:tcW w:w="851" w:type="dxa"/>
            <w:tcBorders>
              <w:bottom w:val="double" w:sz="4" w:space="0" w:color="auto"/>
            </w:tcBorders>
          </w:tcPr>
          <w:p w:rsidR="002F663C" w:rsidRPr="00711F9C" w:rsidP="00C14444" w14:paraId="1927FB8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2DE897B3"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44A42A93" w14:textId="77777777">
      <w:pPr>
        <w:jc w:val="left"/>
        <w:rPr>
          <w:rFonts w:eastAsia="Calibri" w:cs="Times New Roman"/>
          <w:highlight w:val="yellow"/>
        </w:rPr>
      </w:pPr>
    </w:p>
    <w:p w:rsidR="003971FF" w:rsidRPr="007F6EA2" w:rsidP="00B16ACF" w14:paraId="69022D0E"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In this document, the Federal Communications Commission (Commission or we) adopts a Second Report and Order with variety measures to expedite space and earth station approvals, including by eliminating the requirement to file certain license modification applications and eliminating outdated rules. In particular, the Second Report and Order provides regulatory certainty for, and eliminates burdens on, the nascent Ground-Station-as-a-Service industry, where a neutral host establishes connectivity to multiple</w:t>
      </w:r>
      <w:r w:rsidRPr="002F663C">
        <w:rPr>
          <w:rFonts w:eastAsia="Calibri" w:cs="Times New Roman"/>
          <w:szCs w:val="18"/>
        </w:rPr>
        <w:t xml:space="preserve"> satellite systems in space. As licensing activity before the Commission increases in complexity and number, concrete measures to expedite earth and space station applications will support U.S. leadership in the growing space economy. Accordingly, adoption of these concrete measures to expedite the processing of applications for </w:t>
      </w:r>
      <w:r w:rsidRPr="002F663C">
        <w:rPr>
          <w:rFonts w:eastAsia="Calibri" w:cs="Times New Roman"/>
          <w:szCs w:val="18"/>
        </w:rPr>
        <w:t>authority to operate space and earth stations under part 25 of the Commission's rules would be vital to supporting U.S. leadership in the growing space economy.</w:t>
      </w:r>
    </w:p>
    <w:p w:rsidR="00D756D0" w:rsidRPr="002F663C" w:rsidP="00B16ACF" w14:paraId="13876242" w14:textId="77777777">
      <w:pPr>
        <w:spacing w:before="120" w:after="120"/>
        <w:rPr>
          <w:rFonts w:eastAsia="Calibri" w:cs="Times New Roman"/>
          <w:szCs w:val="18"/>
        </w:rPr>
      </w:pPr>
      <w:r w:rsidRPr="002F663C">
        <w:rPr>
          <w:rFonts w:eastAsia="Calibri" w:cs="Times New Roman"/>
          <w:szCs w:val="18"/>
        </w:rPr>
        <w:t>These rules are effective 26 September 2025, except for the amendments to Sec. Sec. 25.110(e) (amendatory instruction 4), 25.117(i) (amendatory instruction 6), 25.118(a)(3), 25.118(b)(1), (2), and (3), and (e)(4), and (h) (amendatory instruction 8), and 25.137(h) (amendatory instruction 10), which are indefinitely delayed. The Commission will publish a document in the Federal Register announcing the effective date of these rule sections.</w:t>
      </w:r>
    </w:p>
    <w:p w:rsidR="00D756D0" w:rsidRPr="002F663C" w:rsidP="00B16ACF" w14:paraId="4BD12E3B" w14:textId="77777777">
      <w:pPr>
        <w:spacing w:before="120" w:after="120"/>
        <w:rPr>
          <w:rFonts w:eastAsia="Calibri" w:cs="Times New Roman"/>
          <w:szCs w:val="18"/>
        </w:rPr>
      </w:pPr>
      <w:r w:rsidRPr="002F663C">
        <w:rPr>
          <w:rFonts w:eastAsia="Calibri" w:cs="Times New Roman"/>
          <w:szCs w:val="18"/>
        </w:rPr>
        <w:t xml:space="preserve">90 Federal Register (FR) 41790, 27 August 2025; </w:t>
      </w:r>
      <w:hyperlink r:id="rId8" w:history="1">
        <w:r w:rsidRPr="002F663C">
          <w:rPr>
            <w:rFonts w:eastAsia="Calibri" w:cs="Times New Roman"/>
            <w:color w:val="0000FF"/>
            <w:szCs w:val="18"/>
            <w:u w:val="single"/>
          </w:rPr>
          <w:t>Title 47</w:t>
        </w:r>
      </w:hyperlink>
      <w:r w:rsidRPr="002F663C">
        <w:rPr>
          <w:rFonts w:eastAsia="Calibri" w:cs="Times New Roman"/>
          <w:szCs w:val="18"/>
        </w:rPr>
        <w:t xml:space="preserve"> Code of Federal Regulations (CFR) Parts </w:t>
      </w:r>
      <w:hyperlink r:id="rId9" w:history="1">
        <w:r w:rsidRPr="002F663C">
          <w:rPr>
            <w:rFonts w:eastAsia="Calibri" w:cs="Times New Roman"/>
            <w:color w:val="0000FF"/>
            <w:szCs w:val="18"/>
            <w:u w:val="single"/>
          </w:rPr>
          <w:t>1</w:t>
        </w:r>
      </w:hyperlink>
      <w:r w:rsidRPr="002F663C">
        <w:rPr>
          <w:rFonts w:eastAsia="Calibri" w:cs="Times New Roman"/>
          <w:szCs w:val="18"/>
        </w:rPr>
        <w:t xml:space="preserve"> and </w:t>
      </w:r>
      <w:hyperlink r:id="rId10" w:history="1">
        <w:r w:rsidRPr="002F663C">
          <w:rPr>
            <w:rFonts w:eastAsia="Calibri" w:cs="Times New Roman"/>
            <w:color w:val="0000FF"/>
            <w:szCs w:val="18"/>
            <w:u w:val="single"/>
          </w:rPr>
          <w:t>25</w:t>
        </w:r>
      </w:hyperlink>
      <w:r w:rsidRPr="002F663C">
        <w:rPr>
          <w:rFonts w:eastAsia="Calibri" w:cs="Times New Roman"/>
          <w:szCs w:val="18"/>
        </w:rPr>
        <w:t>:</w:t>
      </w:r>
    </w:p>
    <w:p w:rsidR="00D756D0" w:rsidRPr="002F663C" w:rsidP="00B16ACF" w14:paraId="32E76660"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https://www.govinfo.gov/content/pkg/FR-2025-08-27/html/2025-16375.htm</w:t>
        </w:r>
      </w:hyperlink>
    </w:p>
    <w:p w:rsidR="00D756D0" w:rsidRPr="002F663C" w:rsidP="00B16ACF" w14:paraId="724F3BA7"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https://www.govinfo.gov/content/pkg/FR-2025-08-27/pdf/2025-16375.pdf</w:t>
        </w:r>
      </w:hyperlink>
    </w:p>
    <w:p w:rsidR="00D756D0" w:rsidRPr="002F663C" w:rsidP="00B16ACF" w14:paraId="64B05A25" w14:textId="77777777">
      <w:pPr>
        <w:spacing w:before="120" w:after="120"/>
        <w:rPr>
          <w:rFonts w:eastAsia="Calibri" w:cs="Times New Roman"/>
          <w:szCs w:val="18"/>
        </w:rPr>
      </w:pPr>
      <w:hyperlink r:id="rId13" w:history="1">
        <w:r w:rsidRPr="002F663C">
          <w:rPr>
            <w:rFonts w:eastAsia="Calibri" w:cs="Times New Roman"/>
            <w:color w:val="0000FF"/>
            <w:szCs w:val="18"/>
            <w:u w:val="single"/>
          </w:rPr>
          <w:t>https://docs.fcc.gov/public/attachments/FCC-25-48A1.pdf</w:t>
        </w:r>
      </w:hyperlink>
    </w:p>
    <w:p w:rsidR="00D756D0" w:rsidRPr="002F663C" w:rsidP="00B16ACF" w14:paraId="5C7F2D9C" w14:textId="77777777">
      <w:pPr>
        <w:spacing w:before="120" w:after="120"/>
        <w:rPr>
          <w:rFonts w:eastAsia="Calibri" w:cs="Times New Roman"/>
          <w:szCs w:val="18"/>
        </w:rPr>
      </w:pPr>
      <w:r w:rsidRPr="002F663C">
        <w:rPr>
          <w:rFonts w:eastAsia="Calibri" w:cs="Times New Roman"/>
          <w:szCs w:val="18"/>
        </w:rPr>
        <w:t xml:space="preserve">FCC Streamlines Space Processes, Boosts Innovation: </w:t>
      </w:r>
      <w:hyperlink r:id="rId14" w:history="1">
        <w:r w:rsidRPr="002F663C">
          <w:rPr>
            <w:rFonts w:eastAsia="Calibri" w:cs="Times New Roman"/>
            <w:color w:val="0000FF"/>
            <w:szCs w:val="18"/>
            <w:u w:val="single"/>
          </w:rPr>
          <w:t>https://www.fcc.gov/document/fcc-streamlines-space-processes-boosts-innovation-0</w:t>
        </w:r>
      </w:hyperlink>
    </w:p>
    <w:p w:rsidR="00D756D0" w:rsidRPr="002F663C" w:rsidP="00B16ACF" w14:paraId="1605904B" w14:textId="77777777">
      <w:pPr>
        <w:spacing w:before="120" w:after="120"/>
        <w:rPr>
          <w:rFonts w:eastAsia="Calibri" w:cs="Times New Roman"/>
          <w:szCs w:val="18"/>
        </w:rPr>
      </w:pPr>
      <w:r w:rsidRPr="002F663C">
        <w:rPr>
          <w:rFonts w:eastAsia="Calibri" w:cs="Times New Roman"/>
          <w:szCs w:val="18"/>
        </w:rPr>
        <w:t xml:space="preserve">Documents from the FCC associated with this final rule are identified by IB Docket Nos. </w:t>
      </w:r>
      <w:hyperlink r:id="rId15" w:history="1">
        <w:r w:rsidRPr="002F663C">
          <w:rPr>
            <w:rFonts w:eastAsia="Calibri" w:cs="Times New Roman"/>
            <w:color w:val="0000FF"/>
            <w:szCs w:val="18"/>
            <w:u w:val="single"/>
          </w:rPr>
          <w:t>22-411</w:t>
        </w:r>
      </w:hyperlink>
      <w:r w:rsidRPr="002F663C">
        <w:rPr>
          <w:rFonts w:eastAsia="Calibri" w:cs="Times New Roman"/>
          <w:szCs w:val="18"/>
        </w:rPr>
        <w:t xml:space="preserve">, </w:t>
      </w:r>
      <w:hyperlink r:id="rId16" w:history="1">
        <w:r w:rsidRPr="002F663C">
          <w:rPr>
            <w:rFonts w:eastAsia="Calibri" w:cs="Times New Roman"/>
            <w:color w:val="0000FF"/>
            <w:szCs w:val="18"/>
            <w:u w:val="single"/>
          </w:rPr>
          <w:t>22-271</w:t>
        </w:r>
      </w:hyperlink>
      <w:r w:rsidRPr="002F663C">
        <w:rPr>
          <w:rFonts w:eastAsia="Calibri" w:cs="Times New Roman"/>
          <w:szCs w:val="18"/>
        </w:rPr>
        <w:t xml:space="preserve">; </w:t>
      </w:r>
      <w:hyperlink r:id="rId17" w:history="1">
        <w:r w:rsidRPr="002F663C">
          <w:rPr>
            <w:rFonts w:eastAsia="Calibri" w:cs="Times New Roman"/>
            <w:color w:val="0000FF"/>
            <w:szCs w:val="18"/>
            <w:u w:val="single"/>
          </w:rPr>
          <w:t>FCC 25-48</w:t>
        </w:r>
      </w:hyperlink>
      <w:r w:rsidRPr="002F663C">
        <w:rPr>
          <w:rFonts w:eastAsia="Calibri" w:cs="Times New Roman"/>
          <w:szCs w:val="18"/>
        </w:rPr>
        <w:t xml:space="preserve"> and are accessible through the FCC's </w:t>
      </w:r>
      <w:hyperlink r:id="rId18" w:history="1">
        <w:r w:rsidRPr="002F663C">
          <w:rPr>
            <w:rFonts w:eastAsia="Calibri" w:cs="Times New Roman"/>
            <w:color w:val="0000FF"/>
            <w:szCs w:val="18"/>
            <w:u w:val="single"/>
          </w:rPr>
          <w:t>Electronic Document Management System (EDOCS)</w:t>
        </w:r>
      </w:hyperlink>
      <w:r w:rsidRPr="002F663C">
        <w:rPr>
          <w:rFonts w:eastAsia="Calibri" w:cs="Times New Roman"/>
          <w:szCs w:val="18"/>
        </w:rPr>
        <w:t xml:space="preserve"> by searching the IB Docket Number(s). The full text of the final rule is available from the Commission's website at </w:t>
      </w:r>
      <w:hyperlink r:id="rId19" w:history="1">
        <w:r w:rsidRPr="002F663C">
          <w:rPr>
            <w:rFonts w:eastAsia="Calibri" w:cs="Times New Roman"/>
            <w:color w:val="0000FF"/>
            <w:szCs w:val="18"/>
            <w:u w:val="single"/>
          </w:rPr>
          <w:t>https://docs.fcc.gov/public/attachments/FCC-25-48A1.pdf.</w:t>
        </w:r>
      </w:hyperlink>
      <w:r w:rsidRPr="002F663C">
        <w:rPr>
          <w:rFonts w:eastAsia="Calibri" w:cs="Times New Roman"/>
          <w:szCs w:val="18"/>
        </w:rPr>
        <w:t xml:space="preserve"> Comments ("filings") for this action are accessible in the </w:t>
      </w:r>
      <w:hyperlink r:id="rId20" w:history="1">
        <w:r w:rsidRPr="002F663C">
          <w:rPr>
            <w:rFonts w:eastAsia="Calibri" w:cs="Times New Roman"/>
            <w:color w:val="0000FF"/>
            <w:szCs w:val="18"/>
            <w:u w:val="single"/>
          </w:rPr>
          <w:t>Electronic Comment Filing System (ECFS)</w:t>
        </w:r>
      </w:hyperlink>
      <w:r w:rsidRPr="002F663C">
        <w:rPr>
          <w:rFonts w:eastAsia="Calibri" w:cs="Times New Roman"/>
          <w:szCs w:val="18"/>
        </w:rPr>
        <w:t xml:space="preserve"> at </w:t>
      </w:r>
      <w:hyperlink r:id="rId21" w:history="1">
        <w:r w:rsidRPr="002F663C">
          <w:rPr>
            <w:rFonts w:eastAsia="Calibri" w:cs="Times New Roman"/>
            <w:color w:val="0000FF"/>
            <w:szCs w:val="18"/>
            <w:u w:val="single"/>
          </w:rPr>
          <w:t>https://www.fcc.gov/ecfs/search/search-filings/results?q=(proceedings.name:(%2222-411*%22)).</w:t>
        </w:r>
      </w:hyperlink>
    </w:p>
    <w:p w:rsidR="006C5A96" w:rsidP="006C5A96" w14:paraId="6E7D3FD2" w14:textId="77777777">
      <w:pPr>
        <w:jc w:val="center"/>
        <w:rPr>
          <w:b/>
        </w:rPr>
      </w:pPr>
      <w:r w:rsidRPr="003971FF">
        <w:rPr>
          <w:b/>
        </w:rPr>
        <w:t>__________</w:t>
      </w:r>
    </w:p>
    <w:p w:rsidR="004D4D19" w:rsidP="007F38C2" w14:paraId="56064C6E" w14:textId="77777777">
      <w:pPr>
        <w:jc w:val="center"/>
        <w:rPr>
          <w:b/>
        </w:rPr>
      </w:pPr>
    </w:p>
    <w:p w:rsidR="00A1565D" w:rsidP="003971FF" w14:paraId="4AAEFC97" w14:textId="77777777">
      <w:pPr>
        <w:jc w:val="center"/>
        <w:rPr>
          <w:b/>
        </w:rPr>
      </w:pPr>
    </w:p>
    <w:sectPr w:rsidSect="006C5A96">
      <w:headerReference w:type="even" r:id="rId22"/>
      <w:headerReference w:type="default" r:id="rId23"/>
      <w:footerReference w:type="even" r:id="rId24"/>
      <w:footerReference w:type="default" r:id="rId25"/>
      <w:headerReference w:type="first" r:id="rId26"/>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5E7F14B"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F44B6BA"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2435017" w14:textId="77777777">
      <w:r>
        <w:separator/>
      </w:r>
    </w:p>
  </w:footnote>
  <w:footnote w:type="continuationSeparator" w:id="1">
    <w:p w:rsidR="004D3A6A" w:rsidP="00ED54E0" w14:paraId="0F0A5733" w14:textId="77777777">
      <w:r>
        <w:continuationSeparator/>
      </w:r>
    </w:p>
  </w:footnote>
  <w:footnote w:id="2">
    <w:p w:rsidR="007F6EA2" w14:paraId="53486385"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3786FFAD"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10B548E" w14:textId="77777777">
    <w:pPr>
      <w:pStyle w:val="Header"/>
      <w:pBdr>
        <w:bottom w:val="single" w:sz="4" w:space="1" w:color="auto"/>
      </w:pBdr>
      <w:tabs>
        <w:tab w:val="clear" w:pos="4513"/>
        <w:tab w:val="clear" w:pos="9027"/>
      </w:tabs>
      <w:jc w:val="center"/>
    </w:pPr>
  </w:p>
  <w:p w:rsidR="00DD3DD7" w:rsidRPr="00DD3DD7" w:rsidP="00DD3DD7" w14:paraId="3AB7BB14"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3590D2E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2FE2955" w14:textId="77777777">
    <w:pPr>
      <w:pStyle w:val="Header"/>
      <w:pBdr>
        <w:bottom w:val="single" w:sz="4" w:space="1" w:color="auto"/>
      </w:pBdr>
      <w:tabs>
        <w:tab w:val="clear" w:pos="4513"/>
        <w:tab w:val="clear" w:pos="9027"/>
      </w:tabs>
      <w:jc w:val="center"/>
    </w:pPr>
    <w:bookmarkStart w:id="3" w:name="spsSymbolHeader"/>
    <w:r w:rsidRPr="00DD3DD7">
      <w:t>G/TBT/N/USA/2083/Add.1</w:t>
    </w:r>
    <w:bookmarkEnd w:id="3"/>
  </w:p>
  <w:p w:rsidR="00DD3DD7" w:rsidRPr="00DD3DD7" w:rsidP="00DD3DD7" w14:paraId="0B845954" w14:textId="77777777">
    <w:pPr>
      <w:pStyle w:val="Header"/>
      <w:pBdr>
        <w:bottom w:val="single" w:sz="4" w:space="1" w:color="auto"/>
      </w:pBdr>
      <w:tabs>
        <w:tab w:val="clear" w:pos="4513"/>
        <w:tab w:val="clear" w:pos="9027"/>
      </w:tabs>
      <w:jc w:val="center"/>
    </w:pPr>
  </w:p>
  <w:p w:rsidR="00DD3DD7" w:rsidRPr="00DD3DD7" w:rsidP="00DD3DD7" w14:paraId="6F63AEE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E38AC8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1BE3513"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21F453C1"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53DDFC4" w14:textId="77777777">
          <w:pPr>
            <w:jc w:val="right"/>
            <w:rPr>
              <w:b/>
              <w:color w:val="FF0000"/>
              <w:szCs w:val="16"/>
            </w:rPr>
          </w:pPr>
          <w:r>
            <w:rPr>
              <w:b/>
              <w:color w:val="FF0000"/>
              <w:szCs w:val="16"/>
            </w:rPr>
            <w:t xml:space="preserve"> </w:t>
          </w:r>
        </w:p>
      </w:tc>
    </w:tr>
    <w:tr w14:paraId="6C24DCF5"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906EFB3"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A2658AE" w14:textId="77777777">
          <w:pPr>
            <w:jc w:val="right"/>
            <w:rPr>
              <w:b/>
              <w:szCs w:val="16"/>
            </w:rPr>
          </w:pPr>
        </w:p>
      </w:tc>
    </w:tr>
    <w:tr w14:paraId="336D813E"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D3D835C"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1BE5510B" w14:textId="77777777">
          <w:pPr>
            <w:jc w:val="right"/>
            <w:rPr>
              <w:rFonts w:eastAsia="Calibri" w:cs="Times New Roman"/>
              <w:b/>
              <w:szCs w:val="16"/>
            </w:rPr>
          </w:pPr>
          <w:bookmarkStart w:id="4" w:name="bmkSymbols"/>
          <w:r w:rsidRPr="002F663C">
            <w:rPr>
              <w:rFonts w:eastAsia="Calibri" w:cs="Times New Roman"/>
              <w:b/>
              <w:szCs w:val="16"/>
            </w:rPr>
            <w:t>G/TBT/N/USA/2083/Add.1</w:t>
          </w:r>
          <w:bookmarkEnd w:id="4"/>
        </w:p>
        <w:p w:rsidR="00C14444" w:rsidRPr="00C14444" w:rsidP="00C14444" w14:paraId="4762C6B2" w14:textId="77777777">
          <w:pPr>
            <w:jc w:val="center"/>
            <w:rPr>
              <w:szCs w:val="16"/>
            </w:rPr>
          </w:pPr>
        </w:p>
      </w:tc>
    </w:tr>
    <w:tr w14:paraId="1D558C98"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B03F48E" w14:textId="77777777"/>
      </w:tc>
      <w:tc>
        <w:tcPr>
          <w:tcW w:w="5448" w:type="dxa"/>
          <w:gridSpan w:val="2"/>
          <w:shd w:val="clear" w:color="auto" w:fill="FFFFFF"/>
          <w:tcMar>
            <w:left w:w="108" w:type="dxa"/>
            <w:right w:w="108" w:type="dxa"/>
          </w:tcMar>
          <w:vAlign w:val="center"/>
        </w:tcPr>
        <w:p w:rsidR="00ED54E0" w:rsidRPr="00182B84" w:rsidP="00425DC5" w14:paraId="31C99493" w14:textId="77777777">
          <w:pPr>
            <w:jc w:val="right"/>
            <w:rPr>
              <w:szCs w:val="16"/>
            </w:rPr>
          </w:pPr>
          <w:bookmarkStart w:id="5" w:name="bmkDate"/>
          <w:r w:rsidRPr="00182B84">
            <w:rPr>
              <w:szCs w:val="16"/>
            </w:rPr>
            <w:t>29 August 2025</w:t>
          </w:r>
          <w:bookmarkEnd w:id="5"/>
        </w:p>
      </w:tc>
    </w:tr>
    <w:tr w14:paraId="2EF8D31A"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5FF57BE" w14:textId="77777777">
          <w:pPr>
            <w:jc w:val="left"/>
            <w:rPr>
              <w:b/>
            </w:rPr>
          </w:pPr>
          <w:bookmarkStart w:id="6" w:name="bmkSerial"/>
          <w:r>
            <w:rPr>
              <w:b w:val="0"/>
              <w:color w:val="FF0000"/>
            </w:rPr>
            <w:t>(25-5410)</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FD5FA86"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32FD987C"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AC75FEB"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DB77B2E"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45CFA1C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41974944">
    <w:abstractNumId w:val="9"/>
  </w:num>
  <w:num w:numId="2" w16cid:durableId="401634710">
    <w:abstractNumId w:val="7"/>
  </w:num>
  <w:num w:numId="3" w16cid:durableId="597062082">
    <w:abstractNumId w:val="6"/>
  </w:num>
  <w:num w:numId="4" w16cid:durableId="22562548">
    <w:abstractNumId w:val="5"/>
  </w:num>
  <w:num w:numId="5" w16cid:durableId="2114667462">
    <w:abstractNumId w:val="4"/>
  </w:num>
  <w:num w:numId="6" w16cid:durableId="728266908">
    <w:abstractNumId w:val="12"/>
  </w:num>
  <w:num w:numId="7" w16cid:durableId="258609922">
    <w:abstractNumId w:val="11"/>
  </w:num>
  <w:num w:numId="8" w16cid:durableId="1972127194">
    <w:abstractNumId w:val="10"/>
  </w:num>
  <w:num w:numId="9" w16cid:durableId="11243462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8752602">
    <w:abstractNumId w:val="13"/>
  </w:num>
  <w:num w:numId="11" w16cid:durableId="1985547367">
    <w:abstractNumId w:val="8"/>
  </w:num>
  <w:num w:numId="12" w16cid:durableId="434516507">
    <w:abstractNumId w:val="3"/>
  </w:num>
  <w:num w:numId="13" w16cid:durableId="1643584477">
    <w:abstractNumId w:val="2"/>
  </w:num>
  <w:num w:numId="14" w16cid:durableId="904685953">
    <w:abstractNumId w:val="1"/>
  </w:num>
  <w:num w:numId="15" w16cid:durableId="1408385764">
    <w:abstractNumId w:val="0"/>
  </w:num>
  <w:num w:numId="16" w16cid:durableId="491916937">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41CFE"/>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D5F06"/>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756D0"/>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03D0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47/chapter-I/subchapter-B/part-25" TargetMode="External" /><Relationship Id="rId11" Type="http://schemas.openxmlformats.org/officeDocument/2006/relationships/hyperlink" Target="https://www.govinfo.gov/content/pkg/FR-2025-08-27/html/2025-16375.htm" TargetMode="External" /><Relationship Id="rId12" Type="http://schemas.openxmlformats.org/officeDocument/2006/relationships/hyperlink" Target="https://www.govinfo.gov/content/pkg/FR-2025-08-27/pdf/2025-16375.pdf" TargetMode="External" /><Relationship Id="rId13" Type="http://schemas.openxmlformats.org/officeDocument/2006/relationships/hyperlink" Target="https://docs.fcc.gov/public/attachments/FCC-25-48A1.pdf" TargetMode="External" /><Relationship Id="rId14" Type="http://schemas.openxmlformats.org/officeDocument/2006/relationships/hyperlink" Target="https://www.fcc.gov/document/fcc-streamlines-space-processes-boosts-innovation-0" TargetMode="External" /><Relationship Id="rId15" Type="http://schemas.openxmlformats.org/officeDocument/2006/relationships/hyperlink" Target="https://www.fcc.gov/edocs/search-results?t=quick&amp;dockets=22-411" TargetMode="External" /><Relationship Id="rId16" Type="http://schemas.openxmlformats.org/officeDocument/2006/relationships/hyperlink" Target="https://www.fcc.gov/edocs/search-results?t=quick&amp;dockets=22-271" TargetMode="External" /><Relationship Id="rId17" Type="http://schemas.openxmlformats.org/officeDocument/2006/relationships/hyperlink" Target="https://www.fcc.gov/edocs/search-results?t=quick&amp;fccdaNo=25-48" TargetMode="External" /><Relationship Id="rId18" Type="http://schemas.openxmlformats.org/officeDocument/2006/relationships/hyperlink" Target="https://www.fcc.gov/edocs" TargetMode="External" /><Relationship Id="rId19" Type="http://schemas.openxmlformats.org/officeDocument/2006/relationships/hyperlink" Target="https://docs.fcc.gov/public/attachments/FCC-25-48A1.pdf." TargetMode="External" /><Relationship Id="rId2" Type="http://schemas.openxmlformats.org/officeDocument/2006/relationships/settings" Target="settings.xml" /><Relationship Id="rId20" Type="http://schemas.openxmlformats.org/officeDocument/2006/relationships/hyperlink" Target="https://www.fcc.gov/ecfs/search/search-filings" TargetMode="External" /><Relationship Id="rId21" Type="http://schemas.openxmlformats.org/officeDocument/2006/relationships/hyperlink" Target="https://www.fcc.gov/ecfs/search/search-filings/results?q=(proceedings.name:(%2222-411*%22))." TargetMode="External" /><Relationship Id="rId22" Type="http://schemas.openxmlformats.org/officeDocument/2006/relationships/header" Target="header1.xml" /><Relationship Id="rId23" Type="http://schemas.openxmlformats.org/officeDocument/2006/relationships/header" Target="header2.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header" Target="header3.xm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USA/final_measure/25_05759_00_e.pdf" TargetMode="External" /><Relationship Id="rId7" Type="http://schemas.openxmlformats.org/officeDocument/2006/relationships/hyperlink" Target="https://members.wto.org/crnattachments/2025/TBT/USA/final_measure/25_05759_01_e.pdf" TargetMode="External" /><Relationship Id="rId8" Type="http://schemas.openxmlformats.org/officeDocument/2006/relationships/hyperlink" Target="https://www.ecfr.gov/current/title-47" TargetMode="External" /><Relationship Id="rId9" Type="http://schemas.openxmlformats.org/officeDocument/2006/relationships/hyperlink" Target="https://www.ecfr.gov/current/title-47/chapter-I/subchapter-A/part-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715</Words>
  <Characters>4080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2025-08-29T08:55:00Z</dcterms:created>
  <dcterms:modified xsi:type="dcterms:W3CDTF">2025-08-29T08:55:00Z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