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46FFEAE2" w14:textId="77777777">
      <w:pPr>
        <w:pStyle w:val="Title"/>
      </w:pPr>
      <w:r w:rsidRPr="002F663C">
        <w:t>NOTIFICATION</w:t>
      </w:r>
    </w:p>
    <w:p w:rsidR="002F663C" w:rsidRPr="002F663C" w:rsidP="00DD3DD7" w14:paraId="62E2BE5C" w14:textId="77777777">
      <w:pPr>
        <w:pStyle w:val="Title3"/>
      </w:pPr>
      <w:r w:rsidRPr="002F663C">
        <w:t>Addendum</w:t>
      </w:r>
    </w:p>
    <w:p w:rsidR="002F663C" w:rsidP="001E2E4A" w14:paraId="2FADBC98"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27 August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3728DFA5" w14:textId="77777777">
      <w:pPr>
        <w:rPr>
          <w:rFonts w:eastAsia="Calibri" w:cs="Times New Roman"/>
        </w:rPr>
      </w:pPr>
    </w:p>
    <w:p w:rsidR="002F663C" w:rsidRPr="002F663C" w:rsidP="002F663C" w14:paraId="3618A145" w14:textId="77777777">
      <w:pPr>
        <w:jc w:val="center"/>
        <w:rPr>
          <w:rFonts w:eastAsia="Calibri" w:cs="Times New Roman"/>
          <w:b/>
        </w:rPr>
      </w:pPr>
      <w:r w:rsidRPr="002F663C">
        <w:rPr>
          <w:rFonts w:eastAsia="Calibri" w:cs="Times New Roman"/>
          <w:b/>
        </w:rPr>
        <w:t>_______________</w:t>
      </w:r>
    </w:p>
    <w:p w:rsidR="002F663C" w:rsidP="002F663C" w14:paraId="69EFB638" w14:textId="77777777">
      <w:pPr>
        <w:rPr>
          <w:rFonts w:eastAsia="Calibri" w:cs="Times New Roman"/>
        </w:rPr>
      </w:pPr>
    </w:p>
    <w:p w:rsidR="00C14444" w:rsidRPr="002F663C" w:rsidP="002F663C" w14:paraId="2C2E8099" w14:textId="77777777">
      <w:pPr>
        <w:rPr>
          <w:rFonts w:eastAsia="Calibri" w:cs="Times New Roman"/>
        </w:rPr>
      </w:pPr>
    </w:p>
    <w:p w:rsidR="002F663C" w:rsidRPr="002F663C" w:rsidP="002F663C" w14:paraId="0F0849E6"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 xml:space="preserve">Amendments to the Appliance Efficiency Regulations, 22-AAER-04 </w:t>
      </w:r>
    </w:p>
    <w:p w:rsidR="002F663C" w:rsidRPr="002F663C" w:rsidP="002F663C" w14:paraId="4C07A7A3"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73FD5766"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5CB70310"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667286E3" w14:textId="77777777" w:rsidTr="00E9471B">
        <w:tblPrEx>
          <w:tblW w:w="9049" w:type="dxa"/>
          <w:tblLayout w:type="fixed"/>
          <w:tblLook w:val="04A0"/>
        </w:tblPrEx>
        <w:tc>
          <w:tcPr>
            <w:tcW w:w="851" w:type="dxa"/>
          </w:tcPr>
          <w:p w:rsidR="002F663C" w:rsidRPr="00711F9C" w:rsidP="00C14444" w14:paraId="590ED50C"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291003E7"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3D8AB019" w14:textId="77777777" w:rsidTr="00E9471B">
        <w:tblPrEx>
          <w:tblW w:w="9049" w:type="dxa"/>
          <w:tblLayout w:type="fixed"/>
          <w:tblLook w:val="04A0"/>
        </w:tblPrEx>
        <w:tc>
          <w:tcPr>
            <w:tcW w:w="851" w:type="dxa"/>
          </w:tcPr>
          <w:p w:rsidR="002F663C" w:rsidRPr="00711F9C" w:rsidP="00C14444" w14:paraId="52ADA7BA"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6B086EAC"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12 August 2025</w:t>
            </w:r>
          </w:p>
        </w:tc>
      </w:tr>
      <w:tr w14:paraId="768E32DC" w14:textId="77777777" w:rsidTr="00E9471B">
        <w:tblPrEx>
          <w:tblW w:w="9049" w:type="dxa"/>
          <w:tblLayout w:type="fixed"/>
          <w:tblLook w:val="04A0"/>
        </w:tblPrEx>
        <w:tc>
          <w:tcPr>
            <w:tcW w:w="851" w:type="dxa"/>
          </w:tcPr>
          <w:p w:rsidR="002F663C" w:rsidRPr="00711F9C" w:rsidP="00C14444" w14:paraId="0C92936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E2E054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202FE828" w14:textId="77777777" w:rsidTr="00E9471B">
        <w:tblPrEx>
          <w:tblW w:w="9049" w:type="dxa"/>
          <w:tblLayout w:type="fixed"/>
          <w:tblLook w:val="04A0"/>
        </w:tblPrEx>
        <w:tc>
          <w:tcPr>
            <w:tcW w:w="851" w:type="dxa"/>
          </w:tcPr>
          <w:p w:rsidR="002F663C" w:rsidRPr="00711F9C" w:rsidP="00C14444" w14:paraId="484224AC"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C85B2F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499AC6D1" w14:textId="77777777" w:rsidTr="00E9471B">
        <w:tblPrEx>
          <w:tblW w:w="9049" w:type="dxa"/>
          <w:tblLayout w:type="fixed"/>
          <w:tblLook w:val="04A0"/>
        </w:tblPrEx>
        <w:tc>
          <w:tcPr>
            <w:tcW w:w="851" w:type="dxa"/>
          </w:tcPr>
          <w:p w:rsidR="002F663C" w:rsidRPr="00711F9C" w:rsidP="00C14444" w14:paraId="68E9F702"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72B5F592"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48E65C77" w14:textId="77777777" w:rsidTr="00E9471B">
        <w:tblPrEx>
          <w:tblW w:w="9049" w:type="dxa"/>
          <w:tblLayout w:type="fixed"/>
          <w:tblLook w:val="04A0"/>
        </w:tblPrEx>
        <w:tc>
          <w:tcPr>
            <w:tcW w:w="851" w:type="dxa"/>
          </w:tcPr>
          <w:p w:rsidR="002F663C" w:rsidRPr="00711F9C" w:rsidP="00C14444" w14:paraId="51CA259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5311717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5F39D67D"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0724806A" w14:textId="77777777" w:rsidTr="00E9471B">
        <w:tblPrEx>
          <w:tblW w:w="9049" w:type="dxa"/>
          <w:tblLayout w:type="fixed"/>
          <w:tblLook w:val="04A0"/>
        </w:tblPrEx>
        <w:tc>
          <w:tcPr>
            <w:tcW w:w="851" w:type="dxa"/>
          </w:tcPr>
          <w:p w:rsidR="002F663C" w:rsidRPr="00711F9C" w:rsidP="00C14444" w14:paraId="48762004"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6B70AAC"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672164CA"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5C5A2766" w14:textId="77777777" w:rsidTr="00E9471B">
        <w:tblPrEx>
          <w:tblW w:w="9049" w:type="dxa"/>
          <w:tblLayout w:type="fixed"/>
          <w:tblLook w:val="04A0"/>
        </w:tblPrEx>
        <w:tc>
          <w:tcPr>
            <w:tcW w:w="851" w:type="dxa"/>
          </w:tcPr>
          <w:p w:rsidR="002F663C" w:rsidRPr="00711F9C" w:rsidP="00C14444" w14:paraId="1E5F0C9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3F73E663"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001AD94D" w14:textId="77777777" w:rsidTr="00E9471B">
        <w:tblPrEx>
          <w:tblW w:w="9049" w:type="dxa"/>
          <w:tblLayout w:type="fixed"/>
          <w:tblLook w:val="04A0"/>
        </w:tblPrEx>
        <w:tc>
          <w:tcPr>
            <w:tcW w:w="851" w:type="dxa"/>
            <w:tcBorders>
              <w:bottom w:val="double" w:sz="4" w:space="0" w:color="auto"/>
            </w:tcBorders>
          </w:tcPr>
          <w:p w:rsidR="002F663C" w:rsidRPr="00711F9C" w:rsidP="00C14444" w14:paraId="09A6602E"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tcPr>
          <w:p w:rsidR="002F663C" w:rsidRPr="002F663C" w:rsidP="00EB7B40" w14:paraId="4EC47C4F"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62E1B3FF" w14:textId="77777777">
            <w:pPr>
              <w:spacing w:before="120" w:after="120"/>
              <w:rPr>
                <w:rFonts w:eastAsia="Calibri" w:cs="Times New Roman"/>
              </w:rPr>
            </w:pPr>
            <w:r>
              <w:rPr>
                <w:rFonts w:eastAsia="Calibri" w:cs="Times New Roman"/>
              </w:rPr>
              <w:t>Administrative Updates for the Title 20 Appliance Efficiency Regulations (Section 100 Rulemaking)</w:t>
            </w:r>
          </w:p>
          <w:p w:rsidR="00467A46" w:rsidP="00EB7B40" w14:paraId="07C31A8D" w14:textId="77777777">
            <w:pPr>
              <w:spacing w:before="120" w:after="120"/>
              <w:rPr>
                <w:rFonts w:eastAsia="Calibri" w:cs="Times New Roman"/>
              </w:rPr>
            </w:pPr>
            <w:hyperlink r:id="rId6" w:tgtFrame="_blank" w:history="1">
              <w:r>
                <w:rPr>
                  <w:rFonts w:eastAsia="Calibri" w:cs="Times New Roman"/>
                  <w:color w:val="0000FF"/>
                  <w:u w:val="single"/>
                </w:rPr>
                <w:t>https://members.wto.org/crnattachments/2025/TBT/USA/25_05690_00_e.pdf</w:t>
              </w:r>
            </w:hyperlink>
          </w:p>
          <w:p w:rsidR="00467A46" w:rsidP="00EB7B40" w14:paraId="62DE4FB0" w14:textId="77777777">
            <w:pPr>
              <w:spacing w:before="120" w:after="120"/>
              <w:rPr>
                <w:rFonts w:eastAsia="Calibri" w:cs="Times New Roman"/>
              </w:rPr>
            </w:pPr>
            <w:hyperlink r:id="rId7" w:tgtFrame="_blank" w:history="1">
              <w:r>
                <w:rPr>
                  <w:rFonts w:eastAsia="Calibri" w:cs="Times New Roman"/>
                  <w:color w:val="0000FF"/>
                  <w:u w:val="single"/>
                </w:rPr>
                <w:t>https://members.wto.org/crnattachments/2025/TBT/USA/25_05690_01_e.pdf</w:t>
              </w:r>
            </w:hyperlink>
          </w:p>
          <w:p w:rsidR="00467A46" w:rsidP="00EB7B40" w14:paraId="05A4032F" w14:textId="77777777">
            <w:pPr>
              <w:spacing w:before="120" w:after="120"/>
              <w:rPr>
                <w:rFonts w:eastAsia="Calibri" w:cs="Times New Roman"/>
              </w:rPr>
            </w:pPr>
            <w:hyperlink r:id="rId8" w:tgtFrame="_blank" w:history="1">
              <w:r>
                <w:rPr>
                  <w:rFonts w:eastAsia="Calibri" w:cs="Times New Roman"/>
                  <w:color w:val="0000FF"/>
                  <w:u w:val="single"/>
                </w:rPr>
                <w:t>https://members.wto.org/crnattachments/2025/TBT/USA/25_05690_02_e.pdf</w:t>
              </w:r>
            </w:hyperlink>
          </w:p>
        </w:tc>
      </w:tr>
      <w:bookmarkEnd w:id="0"/>
    </w:tbl>
    <w:p w:rsidR="002F663C" w:rsidRPr="002F663C" w:rsidP="002F663C" w14:paraId="210F0D6E" w14:textId="77777777">
      <w:pPr>
        <w:jc w:val="left"/>
        <w:rPr>
          <w:rFonts w:eastAsia="Calibri" w:cs="Times New Roman"/>
          <w:highlight w:val="yellow"/>
        </w:rPr>
      </w:pPr>
    </w:p>
    <w:p w:rsidR="003971FF" w:rsidRPr="007F6EA2" w:rsidP="00B16ACF" w14:paraId="5983001D"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The California Energy Commission (CEC) is proposing to make non-substantive changes to the Appliance Efficiency Regulations, </w:t>
      </w:r>
      <w:hyperlink r:id="rId9" w:anchor="I270DCA634B4011EFA8F7F119BAF97AD6" w:history="1">
        <w:r w:rsidRPr="002F663C">
          <w:rPr>
            <w:rFonts w:eastAsia="Calibri" w:cs="Times New Roman"/>
            <w:color w:val="0000FF"/>
            <w:szCs w:val="18"/>
            <w:u w:val="single"/>
          </w:rPr>
          <w:t>California Code of Regulations (CCR), Title 20, Division 2, Chapter 4, Article 4,</w:t>
        </w:r>
      </w:hyperlink>
      <w:r w:rsidRPr="002F663C">
        <w:rPr>
          <w:rFonts w:eastAsia="Calibri" w:cs="Times New Roman"/>
          <w:szCs w:val="18"/>
        </w:rPr>
        <w:t xml:space="preserve"> Sections </w:t>
      </w:r>
      <w:hyperlink r:id="rId10" w:history="1">
        <w:r w:rsidRPr="002F663C">
          <w:rPr>
            <w:rFonts w:eastAsia="Calibri" w:cs="Times New Roman"/>
            <w:color w:val="0000FF"/>
            <w:szCs w:val="18"/>
            <w:u w:val="single"/>
          </w:rPr>
          <w:t>1604</w:t>
        </w:r>
      </w:hyperlink>
      <w:r w:rsidRPr="002F663C">
        <w:rPr>
          <w:rFonts w:eastAsia="Calibri" w:cs="Times New Roman"/>
          <w:szCs w:val="18"/>
        </w:rPr>
        <w:t xml:space="preserve"> and </w:t>
      </w:r>
      <w:hyperlink r:id="rId11" w:history="1">
        <w:r w:rsidRPr="002F663C">
          <w:rPr>
            <w:rFonts w:eastAsia="Calibri" w:cs="Times New Roman"/>
            <w:color w:val="0000FF"/>
            <w:szCs w:val="18"/>
            <w:u w:val="single"/>
          </w:rPr>
          <w:t>1605.1</w:t>
        </w:r>
      </w:hyperlink>
      <w:r w:rsidRPr="002F663C">
        <w:rPr>
          <w:rFonts w:eastAsia="Calibri" w:cs="Times New Roman"/>
          <w:szCs w:val="18"/>
        </w:rPr>
        <w:t>. None of the changes materially alters any requirement, right, responsibility, condition, prescription, or other regulatory element of any CCR provision.</w:t>
      </w:r>
    </w:p>
    <w:p w:rsidR="00842598" w:rsidRPr="002F663C" w:rsidP="00B16ACF" w14:paraId="11A847E2" w14:textId="77777777">
      <w:pPr>
        <w:spacing w:before="120" w:after="120"/>
        <w:rPr>
          <w:rFonts w:eastAsia="Calibri" w:cs="Times New Roman"/>
          <w:szCs w:val="18"/>
        </w:rPr>
      </w:pPr>
      <w:r w:rsidRPr="002F663C">
        <w:rPr>
          <w:rFonts w:eastAsia="Calibri" w:cs="Times New Roman"/>
          <w:szCs w:val="18"/>
        </w:rPr>
        <w:t>These changes are non-substantive due to federal preemption. The Federal Energy Policy and Conservation Act of 1975 (</w:t>
      </w:r>
      <w:hyperlink r:id="rId12" w:history="1">
        <w:r w:rsidRPr="002F663C">
          <w:rPr>
            <w:rFonts w:eastAsia="Calibri" w:cs="Times New Roman"/>
            <w:color w:val="0000FF"/>
            <w:szCs w:val="18"/>
            <w:u w:val="single"/>
          </w:rPr>
          <w:t>EPCA</w:t>
        </w:r>
      </w:hyperlink>
      <w:r w:rsidRPr="002F663C">
        <w:rPr>
          <w:rFonts w:eastAsia="Calibri" w:cs="Times New Roman"/>
          <w:szCs w:val="18"/>
        </w:rPr>
        <w:t xml:space="preserve">), as amended, preempts any state regulation concerning the energy use or energy efficiency of products with existing federal standards (see, e.g., 42 U.S.C. 6297(c)). </w:t>
      </w:r>
      <w:r w:rsidRPr="002F663C">
        <w:rPr>
          <w:rFonts w:eastAsia="Calibri" w:cs="Times New Roman"/>
          <w:szCs w:val="18"/>
        </w:rPr>
        <w:t>Each of the products updated by this action are products for which federal standards exist. In order to ensure continuity and reduce potential market confusion, the proposed changes are meant to ensure the standards in the California Code of Regulations accurately reflect the applicable requirements in the Code of Federal Regulations.</w:t>
      </w:r>
    </w:p>
    <w:p w:rsidR="00842598" w:rsidRPr="002F663C" w:rsidP="00B16ACF" w14:paraId="7FDA596D" w14:textId="77777777">
      <w:pPr>
        <w:spacing w:before="120" w:after="120"/>
        <w:rPr>
          <w:rFonts w:eastAsia="Calibri" w:cs="Times New Roman"/>
          <w:szCs w:val="18"/>
        </w:rPr>
      </w:pPr>
      <w:r w:rsidRPr="002F663C">
        <w:rPr>
          <w:rFonts w:eastAsia="Calibri" w:cs="Times New Roman"/>
          <w:szCs w:val="18"/>
        </w:rPr>
        <w:t xml:space="preserve">Appliance Efficiency Proceedings - Title 20: </w:t>
      </w:r>
      <w:hyperlink r:id="rId13" w:history="1">
        <w:r w:rsidRPr="002F663C">
          <w:rPr>
            <w:rFonts w:eastAsia="Calibri" w:cs="Times New Roman"/>
            <w:color w:val="0000FF"/>
            <w:szCs w:val="18"/>
            <w:u w:val="single"/>
          </w:rPr>
          <w:t>https://www.energy.ca.gov/rules-and-regulations/appliance-efficiency-regulations-title-20/appliance-efficiency-proceedings</w:t>
        </w:r>
      </w:hyperlink>
    </w:p>
    <w:p w:rsidR="00842598" w:rsidRPr="002F663C" w:rsidP="00B16ACF" w14:paraId="76A5B0DE" w14:textId="77777777">
      <w:pPr>
        <w:spacing w:before="120" w:after="120"/>
        <w:rPr>
          <w:rFonts w:eastAsia="Calibri" w:cs="Times New Roman"/>
          <w:szCs w:val="18"/>
        </w:rPr>
      </w:pPr>
      <w:r w:rsidRPr="002F663C">
        <w:rPr>
          <w:rFonts w:eastAsia="Calibri" w:cs="Times New Roman"/>
          <w:szCs w:val="18"/>
        </w:rPr>
        <w:t xml:space="preserve">Docket Log: </w:t>
      </w:r>
      <w:hyperlink r:id="rId14" w:history="1">
        <w:r w:rsidRPr="002F663C">
          <w:rPr>
            <w:rFonts w:eastAsia="Calibri" w:cs="Times New Roman"/>
            <w:color w:val="0000FF"/>
            <w:szCs w:val="18"/>
            <w:u w:val="single"/>
          </w:rPr>
          <w:t>https://efiling.energy.ca.gov/Lists/DocketLog.aspx?docketnumber=22-AAER-04</w:t>
        </w:r>
      </w:hyperlink>
    </w:p>
    <w:p w:rsidR="00842598" w:rsidRPr="002F663C" w:rsidP="00B16ACF" w14:paraId="4D7F21AB" w14:textId="77777777">
      <w:pPr>
        <w:spacing w:before="120" w:after="120"/>
        <w:rPr>
          <w:rFonts w:eastAsia="Calibri" w:cs="Times New Roman"/>
          <w:szCs w:val="18"/>
        </w:rPr>
      </w:pPr>
      <w:r w:rsidRPr="002F663C">
        <w:rPr>
          <w:rFonts w:eastAsia="Calibri" w:cs="Times New Roman"/>
          <w:szCs w:val="18"/>
        </w:rPr>
        <w:t>California Notice Register No. 34-Z, 22 August 2025, page 1074:</w:t>
      </w:r>
    </w:p>
    <w:p w:rsidR="00842598" w:rsidRPr="002F663C" w:rsidP="00B16ACF" w14:paraId="213B820D" w14:textId="77777777">
      <w:pPr>
        <w:spacing w:before="120" w:after="120"/>
        <w:rPr>
          <w:rFonts w:eastAsia="Calibri" w:cs="Times New Roman"/>
          <w:szCs w:val="18"/>
        </w:rPr>
      </w:pPr>
      <w:hyperlink r:id="rId15" w:history="1">
        <w:r w:rsidRPr="002F663C">
          <w:rPr>
            <w:rFonts w:eastAsia="Calibri" w:cs="Times New Roman"/>
            <w:color w:val="0000FF"/>
            <w:szCs w:val="18"/>
            <w:u w:val="single"/>
          </w:rPr>
          <w:t>https://oal.ca.gov/wp-content/uploads/sites/166/2025/08/2025-Notice-Register-No.-34-Z-August-22-2025.pdf</w:t>
        </w:r>
      </w:hyperlink>
    </w:p>
    <w:p w:rsidR="006C5A96" w:rsidP="006C5A96" w14:paraId="02F8F9E7" w14:textId="77777777">
      <w:pPr>
        <w:jc w:val="center"/>
        <w:rPr>
          <w:b/>
        </w:rPr>
      </w:pPr>
      <w:r w:rsidRPr="003971FF">
        <w:rPr>
          <w:b/>
        </w:rPr>
        <w:t>__________</w:t>
      </w:r>
    </w:p>
    <w:p w:rsidR="004D4D19" w:rsidP="007F38C2" w14:paraId="2497C9D8" w14:textId="77777777">
      <w:pPr>
        <w:jc w:val="center"/>
        <w:rPr>
          <w:b/>
        </w:rPr>
      </w:pPr>
    </w:p>
    <w:p w:rsidR="00A1565D" w:rsidP="003971FF" w14:paraId="6E271C6A" w14:textId="77777777">
      <w:pPr>
        <w:jc w:val="center"/>
        <w:rPr>
          <w:b/>
        </w:rPr>
      </w:pPr>
    </w:p>
    <w:sectPr w:rsidSect="006C5A96">
      <w:headerReference w:type="even" r:id="rId16"/>
      <w:headerReference w:type="default" r:id="rId17"/>
      <w:footerReference w:type="even" r:id="rId18"/>
      <w:footerReference w:type="default" r:id="rId19"/>
      <w:headerReference w:type="first" r:id="rId20"/>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0FEA254"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C62C38A"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7C8AE558" w14:textId="77777777">
      <w:r>
        <w:separator/>
      </w:r>
    </w:p>
  </w:footnote>
  <w:footnote w:type="continuationSeparator" w:id="1">
    <w:p w:rsidR="004D3A6A" w:rsidP="00ED54E0" w14:paraId="04AAB42F" w14:textId="77777777">
      <w:r>
        <w:continuationSeparator/>
      </w:r>
    </w:p>
  </w:footnote>
  <w:footnote w:id="2">
    <w:p w:rsidR="007F6EA2" w14:paraId="6398155A"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30A27D13"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64A51333" w14:textId="77777777">
    <w:pPr>
      <w:pStyle w:val="Header"/>
      <w:pBdr>
        <w:bottom w:val="single" w:sz="4" w:space="1" w:color="auto"/>
      </w:pBdr>
      <w:tabs>
        <w:tab w:val="clear" w:pos="4513"/>
        <w:tab w:val="clear" w:pos="9027"/>
      </w:tabs>
      <w:jc w:val="center"/>
    </w:pPr>
  </w:p>
  <w:p w:rsidR="00DD3DD7" w:rsidRPr="00DD3DD7" w:rsidP="00DD3DD7" w14:paraId="2BDE6871"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0E59738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6C697EBF" w14:textId="77777777">
    <w:pPr>
      <w:pStyle w:val="Header"/>
      <w:pBdr>
        <w:bottom w:val="single" w:sz="4" w:space="1" w:color="auto"/>
      </w:pBdr>
      <w:tabs>
        <w:tab w:val="clear" w:pos="4513"/>
        <w:tab w:val="clear" w:pos="9027"/>
      </w:tabs>
      <w:jc w:val="center"/>
    </w:pPr>
    <w:bookmarkStart w:id="3" w:name="spsSymbolHeader"/>
    <w:r w:rsidRPr="00DD3DD7">
      <w:t>G/TBT/N/USA/2074/Add.4</w:t>
    </w:r>
    <w:bookmarkEnd w:id="3"/>
  </w:p>
  <w:p w:rsidR="00DD3DD7" w:rsidRPr="00DD3DD7" w:rsidP="00DD3DD7" w14:paraId="26306092" w14:textId="77777777">
    <w:pPr>
      <w:pStyle w:val="Header"/>
      <w:pBdr>
        <w:bottom w:val="single" w:sz="4" w:space="1" w:color="auto"/>
      </w:pBdr>
      <w:tabs>
        <w:tab w:val="clear" w:pos="4513"/>
        <w:tab w:val="clear" w:pos="9027"/>
      </w:tabs>
      <w:jc w:val="center"/>
    </w:pPr>
  </w:p>
  <w:p w:rsidR="00DD3DD7" w:rsidRPr="00DD3DD7" w:rsidP="00DD3DD7" w14:paraId="28F58C32"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6F1014C1"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237BF83"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0901C34F"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23AE5676" w14:textId="77777777">
          <w:pPr>
            <w:jc w:val="right"/>
            <w:rPr>
              <w:b/>
              <w:color w:val="FF0000"/>
              <w:szCs w:val="16"/>
            </w:rPr>
          </w:pPr>
          <w:r>
            <w:rPr>
              <w:b/>
              <w:color w:val="FF0000"/>
              <w:szCs w:val="16"/>
            </w:rPr>
            <w:t xml:space="preserve"> </w:t>
          </w:r>
        </w:p>
      </w:tc>
    </w:tr>
    <w:tr w14:paraId="2B18316A"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5FBAEBD7"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20F67CA3" w14:textId="77777777">
          <w:pPr>
            <w:jc w:val="right"/>
            <w:rPr>
              <w:b/>
              <w:szCs w:val="16"/>
            </w:rPr>
          </w:pPr>
        </w:p>
      </w:tc>
    </w:tr>
    <w:tr w14:paraId="31410286"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5A2C6BD3"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75315FF5" w14:textId="77777777">
          <w:pPr>
            <w:jc w:val="right"/>
            <w:rPr>
              <w:rFonts w:eastAsia="Calibri" w:cs="Times New Roman"/>
              <w:b/>
              <w:szCs w:val="16"/>
            </w:rPr>
          </w:pPr>
          <w:bookmarkStart w:id="4" w:name="bmkSymbols"/>
          <w:r w:rsidRPr="002F663C">
            <w:rPr>
              <w:rFonts w:eastAsia="Calibri" w:cs="Times New Roman"/>
              <w:b/>
              <w:szCs w:val="16"/>
            </w:rPr>
            <w:t>G/TBT/N/USA/2074/Add.4</w:t>
          </w:r>
          <w:bookmarkEnd w:id="4"/>
        </w:p>
        <w:p w:rsidR="00C14444" w:rsidRPr="00C14444" w:rsidP="00C14444" w14:paraId="023B1FD6" w14:textId="77777777">
          <w:pPr>
            <w:jc w:val="center"/>
            <w:rPr>
              <w:szCs w:val="16"/>
            </w:rPr>
          </w:pPr>
        </w:p>
      </w:tc>
    </w:tr>
    <w:tr w14:paraId="09D0CD96"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260AA7D9" w14:textId="77777777"/>
      </w:tc>
      <w:tc>
        <w:tcPr>
          <w:tcW w:w="5448" w:type="dxa"/>
          <w:gridSpan w:val="2"/>
          <w:shd w:val="clear" w:color="auto" w:fill="FFFFFF"/>
          <w:tcMar>
            <w:left w:w="108" w:type="dxa"/>
            <w:right w:w="108" w:type="dxa"/>
          </w:tcMar>
          <w:vAlign w:val="center"/>
        </w:tcPr>
        <w:p w:rsidR="00ED54E0" w:rsidRPr="00182B84" w:rsidP="00425DC5" w14:paraId="01D60029" w14:textId="77777777">
          <w:pPr>
            <w:jc w:val="right"/>
            <w:rPr>
              <w:szCs w:val="16"/>
            </w:rPr>
          </w:pPr>
          <w:bookmarkStart w:id="5" w:name="bmkDate"/>
          <w:r w:rsidRPr="00182B84">
            <w:rPr>
              <w:szCs w:val="16"/>
            </w:rPr>
            <w:t>27 August 2025</w:t>
          </w:r>
          <w:bookmarkEnd w:id="5"/>
        </w:p>
      </w:tc>
    </w:tr>
    <w:tr w14:paraId="231DAC95"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2A6B98CF" w14:textId="77777777">
          <w:pPr>
            <w:jc w:val="left"/>
            <w:rPr>
              <w:b/>
            </w:rPr>
          </w:pPr>
          <w:bookmarkStart w:id="6" w:name="bmkSerial"/>
          <w:r>
            <w:rPr>
              <w:b w:val="0"/>
              <w:color w:val="FF0000"/>
            </w:rPr>
            <w:t>(25-5354)</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7CD21933"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4C4F2D9D"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44729357"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7A8B47D2"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1495B04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52297107">
    <w:abstractNumId w:val="9"/>
  </w:num>
  <w:num w:numId="2" w16cid:durableId="184753334">
    <w:abstractNumId w:val="7"/>
  </w:num>
  <w:num w:numId="3" w16cid:durableId="7680947">
    <w:abstractNumId w:val="6"/>
  </w:num>
  <w:num w:numId="4" w16cid:durableId="1468400558">
    <w:abstractNumId w:val="5"/>
  </w:num>
  <w:num w:numId="5" w16cid:durableId="772090268">
    <w:abstractNumId w:val="4"/>
  </w:num>
  <w:num w:numId="6" w16cid:durableId="2048942548">
    <w:abstractNumId w:val="12"/>
  </w:num>
  <w:num w:numId="7" w16cid:durableId="1756897341">
    <w:abstractNumId w:val="11"/>
  </w:num>
  <w:num w:numId="8" w16cid:durableId="734207105">
    <w:abstractNumId w:val="10"/>
  </w:num>
  <w:num w:numId="9" w16cid:durableId="692799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47155969">
    <w:abstractNumId w:val="13"/>
  </w:num>
  <w:num w:numId="11" w16cid:durableId="1303072168">
    <w:abstractNumId w:val="8"/>
  </w:num>
  <w:num w:numId="12" w16cid:durableId="338851143">
    <w:abstractNumId w:val="3"/>
  </w:num>
  <w:num w:numId="13" w16cid:durableId="255789661">
    <w:abstractNumId w:val="2"/>
  </w:num>
  <w:num w:numId="14" w16cid:durableId="93862029">
    <w:abstractNumId w:val="1"/>
  </w:num>
  <w:num w:numId="15" w16cid:durableId="1429961131">
    <w:abstractNumId w:val="0"/>
  </w:num>
  <w:num w:numId="16" w16cid:durableId="1728724211">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017BB"/>
    <w:rsid w:val="00612644"/>
    <w:rsid w:val="00615DE8"/>
    <w:rsid w:val="00620F21"/>
    <w:rsid w:val="0062527B"/>
    <w:rsid w:val="0064657D"/>
    <w:rsid w:val="00657B4C"/>
    <w:rsid w:val="00674CCD"/>
    <w:rsid w:val="006B3175"/>
    <w:rsid w:val="006C5A96"/>
    <w:rsid w:val="006E7D82"/>
    <w:rsid w:val="006F5826"/>
    <w:rsid w:val="00700181"/>
    <w:rsid w:val="00711F9C"/>
    <w:rsid w:val="007121AF"/>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42598"/>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576C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govt.westlaw.com/calregs/Document/I132868504AC611EF8D0AD9C609AF9EC3?viewType=FullText&amp;originationContext=documenttoc&amp;transitionType=CategoryPageItem&amp;contextData=(sc.Default)" TargetMode="External" /><Relationship Id="rId11" Type="http://schemas.openxmlformats.org/officeDocument/2006/relationships/hyperlink" Target="https://govt.westlaw.com/calregs/Document/I270DCA634B4011EFA8F7F119BAF97AD6?viewType=FullText&amp;originationContext=documenttoc&amp;transitionType=CategoryPageItem&amp;contextData=(sc.Default)" TargetMode="External" /><Relationship Id="rId12" Type="http://schemas.openxmlformats.org/officeDocument/2006/relationships/hyperlink" Target="https://www.energy.gov/eere/buildings/determinations-and-coverage-rulemakings" TargetMode="External" /><Relationship Id="rId13" Type="http://schemas.openxmlformats.org/officeDocument/2006/relationships/hyperlink" Target="https://www.energy.ca.gov/rules-and-regulations/appliance-efficiency-regulations-title-20/appliance-efficiency-proceedings" TargetMode="External" /><Relationship Id="rId14" Type="http://schemas.openxmlformats.org/officeDocument/2006/relationships/hyperlink" Target="https://efiling.energy.ca.gov/Lists/DocketLog.aspx?docketnumber=22-AAER-04" TargetMode="External" /><Relationship Id="rId15" Type="http://schemas.openxmlformats.org/officeDocument/2006/relationships/hyperlink" Target="https://oal.ca.gov/wp-content/uploads/sites/166/2025/08/2025-Notice-Register-No.-34-Z-August-22-2025.pdf" TargetMode="External"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footer" Target="footer2.xml" /><Relationship Id="rId2" Type="http://schemas.openxmlformats.org/officeDocument/2006/relationships/settings" Target="settings.xml" /><Relationship Id="rId20" Type="http://schemas.openxmlformats.org/officeDocument/2006/relationships/header" Target="head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members.wto.org/crnattachments/2025/TBT/USA/25_05690_00_e.pdf" TargetMode="External" /><Relationship Id="rId7" Type="http://schemas.openxmlformats.org/officeDocument/2006/relationships/hyperlink" Target="https://members.wto.org/crnattachments/2025/TBT/USA/25_05690_01_e.pdf" TargetMode="External" /><Relationship Id="rId8" Type="http://schemas.openxmlformats.org/officeDocument/2006/relationships/hyperlink" Target="https://members.wto.org/crnattachments/2025/TBT/USA/25_05690_02_e.pdf" TargetMode="External" /><Relationship Id="rId9" Type="http://schemas.openxmlformats.org/officeDocument/2006/relationships/hyperlink" Target="https://govt.westlaw.com/calregs/Browse/Home/California/CaliforniaCodeofRegulations?guid=ID0318F505CCE11EC9220000D3A7C4BC3&amp;transitionType=Default&amp;contextData=%28sc.Default%29"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590</Words>
  <Characters>3366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2025-08-27T08:30:00Z</dcterms:created>
  <dcterms:modified xsi:type="dcterms:W3CDTF">2025-08-27T08:30:00Z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