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2662B2D" w14:textId="77777777">
      <w:pPr>
        <w:pStyle w:val="Title"/>
      </w:pPr>
      <w:r w:rsidRPr="002F663C">
        <w:t>NOTIFICATION</w:t>
      </w:r>
    </w:p>
    <w:p w:rsidR="002F663C" w:rsidRPr="002F663C" w:rsidP="00DD3DD7" w14:paraId="24931C37" w14:textId="77777777">
      <w:pPr>
        <w:pStyle w:val="Title3"/>
      </w:pPr>
      <w:r w:rsidRPr="002F663C">
        <w:t>Addendum</w:t>
      </w:r>
    </w:p>
    <w:p w:rsidR="002F663C" w:rsidP="001E2E4A" w14:paraId="3AAE2CA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25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6F47FED" w14:textId="77777777">
      <w:pPr>
        <w:rPr>
          <w:rFonts w:eastAsia="Calibri" w:cs="Times New Roman"/>
        </w:rPr>
      </w:pPr>
    </w:p>
    <w:p w:rsidR="002F663C" w:rsidRPr="002F663C" w:rsidP="002F663C" w14:paraId="2CDC7ED7" w14:textId="77777777">
      <w:pPr>
        <w:jc w:val="center"/>
        <w:rPr>
          <w:rFonts w:eastAsia="Calibri" w:cs="Times New Roman"/>
          <w:b/>
        </w:rPr>
      </w:pPr>
      <w:r w:rsidRPr="002F663C">
        <w:rPr>
          <w:rFonts w:eastAsia="Calibri" w:cs="Times New Roman"/>
          <w:b/>
        </w:rPr>
        <w:t>_______________</w:t>
      </w:r>
    </w:p>
    <w:p w:rsidR="002F663C" w:rsidP="002F663C" w14:paraId="21FACC7C" w14:textId="77777777">
      <w:pPr>
        <w:rPr>
          <w:rFonts w:eastAsia="Calibri" w:cs="Times New Roman"/>
        </w:rPr>
      </w:pPr>
    </w:p>
    <w:p w:rsidR="00C14444" w:rsidRPr="002F663C" w:rsidP="002F663C" w14:paraId="2D836460" w14:textId="77777777">
      <w:pPr>
        <w:rPr>
          <w:rFonts w:eastAsia="Calibri" w:cs="Times New Roman"/>
        </w:rPr>
      </w:pPr>
    </w:p>
    <w:p w:rsidR="002F663C" w:rsidRPr="002F663C" w:rsidP="002F663C" w14:paraId="24AE7A9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Extension of Deadlines: Standards of Performance for New, Reconstructed, and Modified Sources and Emissions Guidelines for Existing Sources: Oil and Natural Gas Sector Climate Review Interim Final Rule</w:t>
      </w:r>
    </w:p>
    <w:p w:rsidR="002F663C" w:rsidRPr="002F663C" w:rsidP="002F663C" w14:paraId="54A2944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C899B5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C2041C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2E6B650" w14:textId="77777777" w:rsidTr="00E9471B">
        <w:tblPrEx>
          <w:tblW w:w="9049" w:type="dxa"/>
          <w:tblLayout w:type="fixed"/>
          <w:tblLook w:val="04A0"/>
        </w:tblPrEx>
        <w:tc>
          <w:tcPr>
            <w:tcW w:w="851" w:type="dxa"/>
          </w:tcPr>
          <w:p w:rsidR="002F663C" w:rsidRPr="00711F9C" w:rsidP="00C14444" w14:paraId="4619E752"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6ACC18F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 October 2025</w:t>
            </w:r>
          </w:p>
        </w:tc>
      </w:tr>
      <w:tr w14:paraId="3A232010" w14:textId="77777777" w:rsidTr="00E9471B">
        <w:tblPrEx>
          <w:tblW w:w="9049" w:type="dxa"/>
          <w:tblLayout w:type="fixed"/>
          <w:tblLook w:val="04A0"/>
        </w:tblPrEx>
        <w:tc>
          <w:tcPr>
            <w:tcW w:w="851" w:type="dxa"/>
          </w:tcPr>
          <w:p w:rsidR="002F663C" w:rsidRPr="00711F9C" w:rsidP="00C14444" w14:paraId="57ECFB3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96D88B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5244714" w14:textId="77777777" w:rsidTr="00E9471B">
        <w:tblPrEx>
          <w:tblW w:w="9049" w:type="dxa"/>
          <w:tblLayout w:type="fixed"/>
          <w:tblLook w:val="04A0"/>
        </w:tblPrEx>
        <w:tc>
          <w:tcPr>
            <w:tcW w:w="851" w:type="dxa"/>
          </w:tcPr>
          <w:p w:rsidR="002F663C" w:rsidRPr="00711F9C" w:rsidP="00C14444" w14:paraId="7091CD2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477DB4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7CA68FF" w14:textId="77777777" w:rsidTr="00E9471B">
        <w:tblPrEx>
          <w:tblW w:w="9049" w:type="dxa"/>
          <w:tblLayout w:type="fixed"/>
          <w:tblLook w:val="04A0"/>
        </w:tblPrEx>
        <w:tc>
          <w:tcPr>
            <w:tcW w:w="851" w:type="dxa"/>
          </w:tcPr>
          <w:p w:rsidR="002F663C" w:rsidRPr="00711F9C" w:rsidP="00C14444" w14:paraId="7BC78FA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DEB4C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54BACBF" w14:textId="77777777" w:rsidTr="00E9471B">
        <w:tblPrEx>
          <w:tblW w:w="9049" w:type="dxa"/>
          <w:tblLayout w:type="fixed"/>
          <w:tblLook w:val="04A0"/>
        </w:tblPrEx>
        <w:tc>
          <w:tcPr>
            <w:tcW w:w="851" w:type="dxa"/>
          </w:tcPr>
          <w:p w:rsidR="002F663C" w:rsidRPr="00711F9C" w:rsidP="00C14444" w14:paraId="3B2AE0A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6F8E3E5"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0B5D467" w14:textId="77777777" w:rsidTr="00E9471B">
        <w:tblPrEx>
          <w:tblW w:w="9049" w:type="dxa"/>
          <w:tblLayout w:type="fixed"/>
          <w:tblLook w:val="04A0"/>
        </w:tblPrEx>
        <w:tc>
          <w:tcPr>
            <w:tcW w:w="851" w:type="dxa"/>
          </w:tcPr>
          <w:p w:rsidR="002F663C" w:rsidRPr="00711F9C" w:rsidP="00C14444" w14:paraId="032EEC3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A29934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803468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50068AD" w14:textId="77777777" w:rsidTr="00E9471B">
        <w:tblPrEx>
          <w:tblW w:w="9049" w:type="dxa"/>
          <w:tblLayout w:type="fixed"/>
          <w:tblLook w:val="04A0"/>
        </w:tblPrEx>
        <w:tc>
          <w:tcPr>
            <w:tcW w:w="851" w:type="dxa"/>
          </w:tcPr>
          <w:p w:rsidR="002F663C" w:rsidRPr="00711F9C" w:rsidP="00C14444" w14:paraId="3AA25D1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1D9335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49436A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27DAF87" w14:textId="77777777" w:rsidTr="00E9471B">
        <w:tblPrEx>
          <w:tblW w:w="9049" w:type="dxa"/>
          <w:tblLayout w:type="fixed"/>
          <w:tblLook w:val="04A0"/>
        </w:tblPrEx>
        <w:tc>
          <w:tcPr>
            <w:tcW w:w="851" w:type="dxa"/>
          </w:tcPr>
          <w:p w:rsidR="002F663C" w:rsidRPr="00711F9C" w:rsidP="00C14444" w14:paraId="3BBC896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AF134A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A9D2B8E" w14:textId="77777777" w:rsidTr="00E9471B">
        <w:tblPrEx>
          <w:tblW w:w="9049" w:type="dxa"/>
          <w:tblLayout w:type="fixed"/>
          <w:tblLook w:val="04A0"/>
        </w:tblPrEx>
        <w:tc>
          <w:tcPr>
            <w:tcW w:w="851" w:type="dxa"/>
            <w:tcBorders>
              <w:bottom w:val="double" w:sz="4" w:space="0" w:color="auto"/>
            </w:tcBorders>
          </w:tcPr>
          <w:p w:rsidR="002F663C" w:rsidRPr="00711F9C" w:rsidP="00C14444" w14:paraId="4AC3A51C"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4EA1FF8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7D5E95E" w14:textId="77777777">
            <w:pPr>
              <w:spacing w:before="120" w:after="120"/>
              <w:rPr>
                <w:rFonts w:eastAsia="Calibri" w:cs="Times New Roman"/>
              </w:rPr>
            </w:pPr>
            <w:r>
              <w:rPr>
                <w:rFonts w:eastAsia="Calibri" w:cs="Times New Roman"/>
              </w:rPr>
              <w:t xml:space="preserve">Announcement of public hearing via virtual platform to take place on 2 September 2025. Additional details on the virtual public hearing will be announced at </w:t>
            </w:r>
            <w:hyperlink r:id="rId6" w:tgtFrame="_blank" w:history="1">
              <w:r>
                <w:rPr>
                  <w:rFonts w:eastAsia="Calibri" w:cs="Times New Roman"/>
                  <w:color w:val="0000FF"/>
                  <w:u w:val="single"/>
                </w:rPr>
                <w:t>https://www.epa.gov/controlling-air-pollution-oil-and-natural-gas-operations/2025-interim-final-rule-extend-compliance</w:t>
              </w:r>
            </w:hyperlink>
            <w:r>
              <w:rPr>
                <w:rFonts w:eastAsia="Calibri" w:cs="Times New Roman"/>
              </w:rPr>
              <w:t>.</w:t>
            </w:r>
          </w:p>
          <w:p w:rsidR="00467A46" w:rsidP="00EB7B40" w14:paraId="24667B84"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https://members.wto.org/crnattachments/2025/TBT/USA/25_05578_00_e.pdf</w:t>
              </w:r>
            </w:hyperlink>
          </w:p>
        </w:tc>
      </w:tr>
      <w:bookmarkEnd w:id="0"/>
    </w:tbl>
    <w:p w:rsidR="002F663C" w:rsidRPr="002F663C" w:rsidP="002F663C" w14:paraId="4A9CADB1" w14:textId="77777777">
      <w:pPr>
        <w:jc w:val="left"/>
        <w:rPr>
          <w:rFonts w:eastAsia="Calibri" w:cs="Times New Roman"/>
          <w:highlight w:val="yellow"/>
        </w:rPr>
      </w:pPr>
    </w:p>
    <w:p w:rsidR="003971FF" w:rsidRPr="007F6EA2" w:rsidP="00B16ACF" w14:paraId="77C0479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31 July 2025, the Environmental Protection Agency (EPA) promulgated amendments to compliance dates within the </w:t>
      </w:r>
      <w:hyperlink r:id="rId8" w:history="1">
        <w:r w:rsidRPr="002F663C">
          <w:rPr>
            <w:rFonts w:eastAsia="Calibri" w:cs="Times New Roman"/>
            <w:color w:val="0000FF"/>
            <w:szCs w:val="18"/>
            <w:u w:val="single"/>
          </w:rPr>
          <w:t>interim final rule</w:t>
        </w:r>
      </w:hyperlink>
      <w:r w:rsidRPr="002F663C">
        <w:rPr>
          <w:rFonts w:eastAsia="Calibri" w:cs="Times New Roman"/>
          <w:szCs w:val="18"/>
        </w:rPr>
        <w:t xml:space="preserve"> titled "Extension of Deadlines in Standards of Performance for New, Reconstructed, and Modified Sources and Emissions Guidelines for Existing Sources: Oil and Natural Gas Sector Climate Review" Final Rule (notified as </w:t>
      </w:r>
      <w:hyperlink r:id="rId9" w:history="1">
        <w:r w:rsidRPr="002F663C">
          <w:rPr>
            <w:rFonts w:eastAsia="Calibri" w:cs="Times New Roman"/>
            <w:color w:val="0000FF"/>
            <w:szCs w:val="18"/>
            <w:u w:val="single"/>
          </w:rPr>
          <w:t>G/TBT/N/USA/1802/Rev.1/Add.1</w:t>
        </w:r>
      </w:hyperlink>
      <w:r w:rsidRPr="002F663C">
        <w:rPr>
          <w:rFonts w:eastAsia="Calibri" w:cs="Times New Roman"/>
          <w:szCs w:val="18"/>
        </w:rPr>
        <w:t xml:space="preserve">). The EPA received requests to schedule a public hearing. Given the public interest and to further public participation, the EPA is granting these requests and will hold the public hearing via virtual platform. The public hearing for Oil and Natural Gas will be held on 2 September 2025. In addition, the EPA is extending the deadline for written comments listed in </w:t>
      </w:r>
      <w:r w:rsidRPr="002F663C">
        <w:rPr>
          <w:rFonts w:eastAsia="Calibri" w:cs="Times New Roman"/>
          <w:szCs w:val="18"/>
        </w:rPr>
        <w:t>the interim final rule to 1 October 2025, for Oil and Natural Gas. The EPA will consider submitted comments and address them as appropriate.</w:t>
      </w:r>
    </w:p>
    <w:p w:rsidR="00542E1D" w:rsidRPr="002F663C" w:rsidP="00B16ACF" w14:paraId="2687B2CB" w14:textId="77777777">
      <w:pPr>
        <w:spacing w:before="120" w:after="120"/>
        <w:rPr>
          <w:rFonts w:eastAsia="Calibri" w:cs="Times New Roman"/>
          <w:szCs w:val="18"/>
        </w:rPr>
      </w:pPr>
      <w:r w:rsidRPr="002F663C">
        <w:rPr>
          <w:rFonts w:eastAsia="Calibri" w:cs="Times New Roman"/>
          <w:szCs w:val="18"/>
        </w:rPr>
        <w:t>Comments in response to the 31 July 2025, interim final rule for Oil and Gas must be received by 1 October 2025.</w:t>
      </w:r>
    </w:p>
    <w:p w:rsidR="00542E1D" w:rsidRPr="002F663C" w:rsidP="00B16ACF" w14:paraId="3EE2D31D" w14:textId="77777777">
      <w:pPr>
        <w:spacing w:before="120" w:after="120"/>
        <w:rPr>
          <w:rFonts w:eastAsia="Calibri" w:cs="Times New Roman"/>
          <w:szCs w:val="18"/>
        </w:rPr>
      </w:pPr>
      <w:r w:rsidRPr="002F663C">
        <w:rPr>
          <w:rFonts w:eastAsia="Calibri" w:cs="Times New Roman"/>
          <w:szCs w:val="18"/>
        </w:rPr>
        <w:t xml:space="preserve">The EPA will hold a virtual public hearing for the rulemaking Oil and Natural Gas on 2 September 2025. The EPA will announce additional details on the virtual public hearing at </w:t>
      </w:r>
      <w:hyperlink r:id="rId6" w:history="1">
        <w:r w:rsidRPr="002F663C">
          <w:rPr>
            <w:rFonts w:eastAsia="Calibri" w:cs="Times New Roman"/>
            <w:color w:val="0000FF"/>
            <w:szCs w:val="18"/>
            <w:u w:val="single"/>
          </w:rPr>
          <w:t>https://www.epa.gov/controlling-air-pollution-oil-and-natural-gas-operations/2025-interim-final-rule-extend-compliance</w:t>
        </w:r>
      </w:hyperlink>
      <w:r w:rsidRPr="002F663C">
        <w:rPr>
          <w:rFonts w:eastAsia="Calibri" w:cs="Times New Roman"/>
          <w:szCs w:val="18"/>
        </w:rPr>
        <w:t>.</w:t>
      </w:r>
    </w:p>
    <w:p w:rsidR="00542E1D" w:rsidRPr="002F663C" w:rsidP="00B16ACF" w14:paraId="1EC9D04F" w14:textId="77777777">
      <w:pPr>
        <w:spacing w:before="120" w:after="120"/>
        <w:rPr>
          <w:rFonts w:eastAsia="Calibri" w:cs="Times New Roman"/>
          <w:szCs w:val="18"/>
        </w:rPr>
      </w:pPr>
      <w:r w:rsidRPr="002F663C">
        <w:rPr>
          <w:rFonts w:eastAsia="Calibri" w:cs="Times New Roman"/>
          <w:szCs w:val="18"/>
        </w:rPr>
        <w:t xml:space="preserve">90 Federal Register (FR) 39333, 15 August 2025; </w:t>
      </w:r>
      <w:hyperlink r:id="rId10" w:history="1">
        <w:r w:rsidRPr="002F663C">
          <w:rPr>
            <w:rFonts w:eastAsia="Calibri" w:cs="Times New Roman"/>
            <w:color w:val="0000FF"/>
            <w:szCs w:val="18"/>
            <w:u w:val="single"/>
          </w:rPr>
          <w:t>Title 40 Code of Federal Regulations (CFR) Part 63</w:t>
        </w:r>
      </w:hyperlink>
      <w:r w:rsidRPr="002F663C">
        <w:rPr>
          <w:rFonts w:eastAsia="Calibri" w:cs="Times New Roman"/>
          <w:szCs w:val="18"/>
        </w:rPr>
        <w:t>:</w:t>
      </w:r>
    </w:p>
    <w:p w:rsidR="00542E1D" w:rsidRPr="002F663C" w:rsidP="00B16ACF" w14:paraId="3F493932"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https://www.govinfo.gov/content/pkg/FR-2025-08-15/html/2025-15614.htm</w:t>
        </w:r>
      </w:hyperlink>
    </w:p>
    <w:p w:rsidR="00542E1D" w:rsidRPr="002F663C" w:rsidP="00B16ACF" w14:paraId="77240C7A"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https://www.govinfo.gov/content/pkg/FR-2025-08-15/pdf/2025-15614.pdf</w:t>
        </w:r>
      </w:hyperlink>
    </w:p>
    <w:p w:rsidR="00542E1D" w:rsidRPr="002F663C" w:rsidP="00B16ACF" w14:paraId="3CFF91F1" w14:textId="77777777">
      <w:pPr>
        <w:spacing w:before="120" w:after="120"/>
        <w:rPr>
          <w:rFonts w:eastAsia="Calibri" w:cs="Times New Roman"/>
          <w:szCs w:val="18"/>
        </w:rPr>
      </w:pPr>
      <w:r w:rsidRPr="002F663C">
        <w:rPr>
          <w:rFonts w:eastAsia="Calibri" w:cs="Times New Roman"/>
          <w:szCs w:val="18"/>
        </w:rPr>
        <w:t xml:space="preserve">This interim final rule; notice of public hearing and extension of public comment period and the interim final rule notified as </w:t>
      </w:r>
      <w:hyperlink r:id="rId9" w:history="1">
        <w:r w:rsidRPr="002F663C">
          <w:rPr>
            <w:rFonts w:eastAsia="Calibri" w:cs="Times New Roman"/>
            <w:color w:val="0000FF"/>
            <w:szCs w:val="18"/>
            <w:u w:val="single"/>
          </w:rPr>
          <w:t>G/TBT/N/USA/1802/Rev.1/Add.1</w:t>
        </w:r>
      </w:hyperlink>
      <w:r w:rsidRPr="002F663C">
        <w:rPr>
          <w:rFonts w:eastAsia="Calibri" w:cs="Times New Roman"/>
          <w:szCs w:val="18"/>
        </w:rPr>
        <w:t xml:space="preserve"> are identified by EPA-HQ-OAR-2025-0162. The Docket Folder is available on Regulations.gov at </w:t>
      </w:r>
      <w:hyperlink r:id="rId13" w:history="1">
        <w:r w:rsidRPr="002F663C">
          <w:rPr>
            <w:rFonts w:eastAsia="Calibri" w:cs="Times New Roman"/>
            <w:color w:val="0000FF"/>
            <w:szCs w:val="18"/>
            <w:u w:val="single"/>
          </w:rPr>
          <w:t>https://www.regulations.gov/docket/EPA-HQ-OAR-2025-0162/document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1 October 2025 will be shared with EPA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338E9A80" w14:textId="77777777">
      <w:pPr>
        <w:jc w:val="center"/>
        <w:rPr>
          <w:b/>
        </w:rPr>
      </w:pPr>
      <w:r w:rsidRPr="003971FF">
        <w:rPr>
          <w:b/>
        </w:rPr>
        <w:t>__________</w:t>
      </w:r>
    </w:p>
    <w:p w:rsidR="004D4D19" w:rsidP="007F38C2" w14:paraId="00C9F313" w14:textId="77777777">
      <w:pPr>
        <w:jc w:val="center"/>
        <w:rPr>
          <w:b/>
        </w:rPr>
      </w:pPr>
    </w:p>
    <w:p w:rsidR="00A1565D" w:rsidP="003971FF" w14:paraId="5E7ED9D2"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67117B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B512D1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F7DBF18" w14:textId="77777777">
      <w:r>
        <w:separator/>
      </w:r>
    </w:p>
  </w:footnote>
  <w:footnote w:type="continuationSeparator" w:id="1">
    <w:p w:rsidR="004D3A6A" w:rsidP="00ED54E0" w14:paraId="23A88AE5" w14:textId="77777777">
      <w:r>
        <w:continuationSeparator/>
      </w:r>
    </w:p>
  </w:footnote>
  <w:footnote w:id="2">
    <w:p w:rsidR="007F6EA2" w14:paraId="72091DA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4B00DF6"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1145D2D" w14:textId="77777777">
    <w:pPr>
      <w:pStyle w:val="Header"/>
      <w:pBdr>
        <w:bottom w:val="single" w:sz="4" w:space="1" w:color="auto"/>
      </w:pBdr>
      <w:tabs>
        <w:tab w:val="clear" w:pos="4513"/>
        <w:tab w:val="clear" w:pos="9027"/>
      </w:tabs>
      <w:jc w:val="center"/>
    </w:pPr>
  </w:p>
  <w:p w:rsidR="00DD3DD7" w:rsidRPr="00DD3DD7" w:rsidP="00DD3DD7" w14:paraId="454753C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C65B74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0B38D3F" w14:textId="77777777">
    <w:pPr>
      <w:pStyle w:val="Header"/>
      <w:pBdr>
        <w:bottom w:val="single" w:sz="4" w:space="1" w:color="auto"/>
      </w:pBdr>
      <w:tabs>
        <w:tab w:val="clear" w:pos="4513"/>
        <w:tab w:val="clear" w:pos="9027"/>
      </w:tabs>
      <w:jc w:val="center"/>
    </w:pPr>
    <w:bookmarkStart w:id="3" w:name="spsSymbolHeader"/>
    <w:r w:rsidRPr="00DD3DD7">
      <w:t>G/TBT/N/USA/1802/Rev.1/Add.2</w:t>
    </w:r>
    <w:bookmarkEnd w:id="3"/>
  </w:p>
  <w:p w:rsidR="00DD3DD7" w:rsidRPr="00DD3DD7" w:rsidP="00DD3DD7" w14:paraId="033E5FD7" w14:textId="77777777">
    <w:pPr>
      <w:pStyle w:val="Header"/>
      <w:pBdr>
        <w:bottom w:val="single" w:sz="4" w:space="1" w:color="auto"/>
      </w:pBdr>
      <w:tabs>
        <w:tab w:val="clear" w:pos="4513"/>
        <w:tab w:val="clear" w:pos="9027"/>
      </w:tabs>
      <w:jc w:val="center"/>
    </w:pPr>
  </w:p>
  <w:p w:rsidR="00DD3DD7" w:rsidRPr="00DD3DD7" w:rsidP="00DD3DD7" w14:paraId="0AEF663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D3035C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BDA883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5E03C3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671EE94" w14:textId="77777777">
          <w:pPr>
            <w:jc w:val="right"/>
            <w:rPr>
              <w:b/>
              <w:color w:val="FF0000"/>
              <w:szCs w:val="16"/>
            </w:rPr>
          </w:pPr>
          <w:r>
            <w:rPr>
              <w:b/>
              <w:color w:val="FF0000"/>
              <w:szCs w:val="16"/>
            </w:rPr>
            <w:t xml:space="preserve"> </w:t>
          </w:r>
        </w:p>
      </w:tc>
    </w:tr>
    <w:tr w14:paraId="50EEAE4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9A9A2B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BD336EB" w14:textId="77777777">
          <w:pPr>
            <w:jc w:val="right"/>
            <w:rPr>
              <w:b/>
              <w:szCs w:val="16"/>
            </w:rPr>
          </w:pPr>
        </w:p>
      </w:tc>
    </w:tr>
    <w:tr w14:paraId="7DE8DB39"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FA1FDD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4940596" w14:textId="77777777">
          <w:pPr>
            <w:jc w:val="right"/>
            <w:rPr>
              <w:rFonts w:eastAsia="Calibri" w:cs="Times New Roman"/>
              <w:b/>
              <w:szCs w:val="16"/>
            </w:rPr>
          </w:pPr>
          <w:bookmarkStart w:id="4" w:name="bmkSymbols"/>
          <w:r w:rsidRPr="002F663C">
            <w:rPr>
              <w:rFonts w:eastAsia="Calibri" w:cs="Times New Roman"/>
              <w:b/>
              <w:szCs w:val="16"/>
            </w:rPr>
            <w:t>G/TBT/N/USA/1802/Rev.1/Add.2</w:t>
          </w:r>
          <w:bookmarkEnd w:id="4"/>
        </w:p>
        <w:p w:rsidR="00C14444" w:rsidRPr="00C14444" w:rsidP="00C14444" w14:paraId="2DA7154C" w14:textId="77777777">
          <w:pPr>
            <w:jc w:val="center"/>
            <w:rPr>
              <w:szCs w:val="16"/>
            </w:rPr>
          </w:pPr>
        </w:p>
      </w:tc>
    </w:tr>
    <w:tr w14:paraId="687DD2F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92F1902" w14:textId="77777777"/>
      </w:tc>
      <w:tc>
        <w:tcPr>
          <w:tcW w:w="5448" w:type="dxa"/>
          <w:gridSpan w:val="2"/>
          <w:shd w:val="clear" w:color="auto" w:fill="FFFFFF"/>
          <w:tcMar>
            <w:left w:w="108" w:type="dxa"/>
            <w:right w:w="108" w:type="dxa"/>
          </w:tcMar>
          <w:vAlign w:val="center"/>
        </w:tcPr>
        <w:p w:rsidR="00ED54E0" w:rsidRPr="00182B84" w:rsidP="00425DC5" w14:paraId="4EDF52F1" w14:textId="77777777">
          <w:pPr>
            <w:jc w:val="right"/>
            <w:rPr>
              <w:szCs w:val="16"/>
            </w:rPr>
          </w:pPr>
          <w:bookmarkStart w:id="5" w:name="bmkDate"/>
          <w:r w:rsidRPr="00182B84">
            <w:rPr>
              <w:szCs w:val="16"/>
            </w:rPr>
            <w:t>25 August 2025</w:t>
          </w:r>
          <w:bookmarkEnd w:id="5"/>
        </w:p>
      </w:tc>
    </w:tr>
    <w:tr w14:paraId="3C31C234"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E146C9C" w14:textId="77777777">
          <w:pPr>
            <w:jc w:val="left"/>
            <w:rPr>
              <w:b/>
            </w:rPr>
          </w:pPr>
          <w:bookmarkStart w:id="6" w:name="bmkSerial"/>
          <w:r>
            <w:rPr>
              <w:b w:val="0"/>
              <w:color w:val="FF0000"/>
            </w:rPr>
            <w:t>(25-5289)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0976CB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323C8F4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BF4210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FA4D99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852A38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93570999">
    <w:abstractNumId w:val="9"/>
  </w:num>
  <w:num w:numId="2" w16cid:durableId="1750732334">
    <w:abstractNumId w:val="7"/>
  </w:num>
  <w:num w:numId="3" w16cid:durableId="223297246">
    <w:abstractNumId w:val="6"/>
  </w:num>
  <w:num w:numId="4" w16cid:durableId="991326373">
    <w:abstractNumId w:val="5"/>
  </w:num>
  <w:num w:numId="5" w16cid:durableId="190725123">
    <w:abstractNumId w:val="4"/>
  </w:num>
  <w:num w:numId="6" w16cid:durableId="1075124830">
    <w:abstractNumId w:val="12"/>
  </w:num>
  <w:num w:numId="7" w16cid:durableId="1278221434">
    <w:abstractNumId w:val="11"/>
  </w:num>
  <w:num w:numId="8" w16cid:durableId="148177699">
    <w:abstractNumId w:val="10"/>
  </w:num>
  <w:num w:numId="9" w16cid:durableId="2110927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1668491">
    <w:abstractNumId w:val="13"/>
  </w:num>
  <w:num w:numId="11" w16cid:durableId="526331025">
    <w:abstractNumId w:val="8"/>
  </w:num>
  <w:num w:numId="12" w16cid:durableId="728500073">
    <w:abstractNumId w:val="3"/>
  </w:num>
  <w:num w:numId="13" w16cid:durableId="1511408867">
    <w:abstractNumId w:val="2"/>
  </w:num>
  <w:num w:numId="14" w16cid:durableId="1696616270">
    <w:abstractNumId w:val="1"/>
  </w:num>
  <w:num w:numId="15" w16cid:durableId="665672757">
    <w:abstractNumId w:val="0"/>
  </w:num>
  <w:num w:numId="16" w16cid:durableId="75093017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2E1D"/>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3FC1"/>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2268C"/>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D66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C/part-63" TargetMode="External" /><Relationship Id="rId11" Type="http://schemas.openxmlformats.org/officeDocument/2006/relationships/hyperlink" Target="https://www.govinfo.gov/content/pkg/FR-2025-08-15/html/2025-15614.htm" TargetMode="External" /><Relationship Id="rId12" Type="http://schemas.openxmlformats.org/officeDocument/2006/relationships/hyperlink" Target="https://www.govinfo.gov/content/pkg/FR-2025-08-15/pdf/2025-15614.pdf" TargetMode="External" /><Relationship Id="rId13" Type="http://schemas.openxmlformats.org/officeDocument/2006/relationships/hyperlink" Target="https://www.regulations.gov/docket/EPA-HQ-OAR-2025-0162/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epa.gov/controlling-air-pollution-oil-and-natural-gas-operations/2025-interim-final-rule-extend-compliance" TargetMode="External" /><Relationship Id="rId7" Type="http://schemas.openxmlformats.org/officeDocument/2006/relationships/hyperlink" Target="https://members.wto.org/crnattachments/2025/TBT/USA/25_05578_00_e.pdf" TargetMode="External" /><Relationship Id="rId8" Type="http://schemas.openxmlformats.org/officeDocument/2006/relationships/hyperlink" Target="https://www.govinfo.gov/content/pkg/FR-2025-07-31/pdf/2025-14531.pdf" TargetMode="External" /><Relationship Id="rId9" Type="http://schemas.openxmlformats.org/officeDocument/2006/relationships/hyperlink" Target="https://eping.wto.org/en/Search?viewData=G/TBT/N/USA/1802/Rev.1/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2025-08-25T08:26:00Z</dcterms:created>
  <dcterms:modified xsi:type="dcterms:W3CDTF">2025-08-25T08:26:00Z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