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78EB0BA" w14:textId="77777777">
      <w:pPr>
        <w:pStyle w:val="Title"/>
        <w:rPr>
          <w:caps w:val="0"/>
          <w:kern w:val="0"/>
        </w:rPr>
      </w:pPr>
      <w:r w:rsidRPr="002F6A28">
        <w:rPr>
          <w:caps w:val="0"/>
          <w:kern w:val="0"/>
        </w:rPr>
        <w:t>NOTIFICATION</w:t>
      </w:r>
    </w:p>
    <w:p w:rsidR="009239F7" w:rsidRPr="002F6A28" w:rsidP="002F6A28" w14:paraId="181EACA2" w14:textId="77777777">
      <w:pPr>
        <w:jc w:val="center"/>
      </w:pPr>
      <w:r w:rsidRPr="002F6A28">
        <w:t>The following notification is being circulated in accordance with Article 10.6</w:t>
      </w:r>
    </w:p>
    <w:p w:rsidR="009239F7" w:rsidRPr="002F6A28" w:rsidP="002F6A28" w14:paraId="6BD18D4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DB32431" w14:textId="77777777" w:rsidTr="00DB13FE">
        <w:tblPrEx>
          <w:tblW w:w="5000" w:type="pct"/>
          <w:tblLayout w:type="fixed"/>
          <w:tblLook w:val="0000"/>
        </w:tblPrEx>
        <w:tc>
          <w:tcPr>
            <w:tcW w:w="607" w:type="dxa"/>
            <w:tcBorders>
              <w:top w:val="double" w:sz="4" w:space="0" w:color="auto"/>
            </w:tcBorders>
          </w:tcPr>
          <w:p w:rsidR="00F85C99" w:rsidRPr="002F6A28" w:rsidP="002F6A28" w14:paraId="6124DE9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E7D0B5E"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7E2A094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A280DAA" w14:textId="77777777" w:rsidTr="00DB13FE">
        <w:tblPrEx>
          <w:tblW w:w="5000" w:type="pct"/>
          <w:tblLayout w:type="fixed"/>
          <w:tblLook w:val="0000"/>
        </w:tblPrEx>
        <w:tc>
          <w:tcPr>
            <w:tcW w:w="607" w:type="dxa"/>
          </w:tcPr>
          <w:p w:rsidR="00F85C99" w:rsidRPr="002F6A28" w:rsidP="002F6A28" w14:paraId="4C802A37" w14:textId="77777777">
            <w:pPr>
              <w:spacing w:before="120" w:after="120"/>
              <w:jc w:val="left"/>
            </w:pPr>
            <w:r w:rsidRPr="002F6A28">
              <w:rPr>
                <w:b/>
              </w:rPr>
              <w:t>2.</w:t>
            </w:r>
          </w:p>
        </w:tc>
        <w:tc>
          <w:tcPr>
            <w:tcW w:w="8373" w:type="dxa"/>
          </w:tcPr>
          <w:p w:rsidR="00F85C99" w:rsidRPr="002F6A28" w:rsidP="000C3B6C" w14:paraId="6BE06595" w14:textId="77777777">
            <w:pPr>
              <w:spacing w:before="120" w:after="120"/>
            </w:pPr>
            <w:r w:rsidRPr="002F6A28">
              <w:rPr>
                <w:b/>
              </w:rPr>
              <w:t>Agency responsible:</w:t>
            </w:r>
            <w:r w:rsidRPr="00C379C8" w:rsidR="00EE3A11">
              <w:t xml:space="preserve"> </w:t>
            </w:r>
          </w:p>
          <w:p w:rsidR="00EE3A11" w:rsidRPr="00C379C8" w:rsidP="000C3B6C" w14:paraId="1AA5EAA9" w14:textId="77777777">
            <w:pPr>
              <w:spacing w:after="120"/>
            </w:pPr>
            <w:r w:rsidRPr="00C379C8">
              <w:t>Department of Health, Disability and Ageing (through the Therapeutic Goods Administration)</w:t>
            </w:r>
          </w:p>
        </w:tc>
      </w:tr>
      <w:tr w14:paraId="46C4ACEF" w14:textId="77777777" w:rsidTr="00DB13FE">
        <w:tblPrEx>
          <w:tblW w:w="5000" w:type="pct"/>
          <w:tblLayout w:type="fixed"/>
          <w:tblLook w:val="0000"/>
        </w:tblPrEx>
        <w:tc>
          <w:tcPr>
            <w:tcW w:w="607" w:type="dxa"/>
          </w:tcPr>
          <w:p w:rsidR="00F85C99" w:rsidRPr="002F6A28" w:rsidP="002F6A28" w14:paraId="1DA11C69" w14:textId="77777777">
            <w:pPr>
              <w:spacing w:before="120" w:after="120"/>
              <w:jc w:val="left"/>
              <w:rPr>
                <w:b/>
              </w:rPr>
            </w:pPr>
            <w:r w:rsidRPr="002F6A28">
              <w:rPr>
                <w:b/>
              </w:rPr>
              <w:t>3.</w:t>
            </w:r>
          </w:p>
        </w:tc>
        <w:tc>
          <w:tcPr>
            <w:tcW w:w="8373" w:type="dxa"/>
          </w:tcPr>
          <w:p w:rsidR="00F85C99" w:rsidRPr="0058336F" w:rsidP="002F6A28" w14:paraId="48CB9FF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E282C6C" w14:textId="77777777" w:rsidTr="00DB13FE">
        <w:tblPrEx>
          <w:tblW w:w="5000" w:type="pct"/>
          <w:tblLayout w:type="fixed"/>
          <w:tblLook w:val="0000"/>
        </w:tblPrEx>
        <w:tc>
          <w:tcPr>
            <w:tcW w:w="607" w:type="dxa"/>
          </w:tcPr>
          <w:p w:rsidR="00F85C99" w:rsidRPr="002F6A28" w:rsidP="002F6A28" w14:paraId="022B1D60" w14:textId="77777777">
            <w:pPr>
              <w:spacing w:before="120" w:after="120"/>
              <w:jc w:val="left"/>
            </w:pPr>
            <w:r w:rsidRPr="002F6A28">
              <w:rPr>
                <w:b/>
              </w:rPr>
              <w:t>4.</w:t>
            </w:r>
          </w:p>
        </w:tc>
        <w:tc>
          <w:tcPr>
            <w:tcW w:w="8373" w:type="dxa"/>
          </w:tcPr>
          <w:p w:rsidR="00F85C99" w:rsidRPr="002F6A28" w:rsidP="002F6A28" w14:paraId="4B12A97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t>
            </w:r>
          </w:p>
          <w:p w:rsidR="00EE3A11" w:rsidRPr="00C379C8" w:rsidP="002F6A28" w14:paraId="25FC1FEA" w14:textId="77777777">
            <w:pPr>
              <w:numPr>
                <w:ilvl w:val="0"/>
                <w:numId w:val="16"/>
              </w:numPr>
              <w:spacing w:before="120" w:after="120"/>
            </w:pPr>
            <w:r w:rsidRPr="00C379C8">
              <w:t>Homosalate</w:t>
            </w:r>
          </w:p>
          <w:p w:rsidR="00EE3A11" w:rsidRPr="00C379C8" w:rsidP="002F6A28" w14:paraId="54610AC8" w14:textId="77777777">
            <w:pPr>
              <w:numPr>
                <w:ilvl w:val="0"/>
                <w:numId w:val="16"/>
              </w:numPr>
              <w:spacing w:before="120" w:after="120"/>
            </w:pPr>
            <w:r w:rsidRPr="00C379C8">
              <w:t>Oxybenzone</w:t>
            </w:r>
          </w:p>
          <w:p w:rsidR="00EE3A11" w:rsidRPr="00C379C8" w:rsidP="002F6A28" w14:paraId="29E76C08" w14:textId="77777777">
            <w:pPr>
              <w:numPr>
                <w:ilvl w:val="0"/>
                <w:numId w:val="16"/>
              </w:numPr>
              <w:spacing w:before="120" w:after="120"/>
            </w:pPr>
            <w:r w:rsidRPr="00C379C8">
              <w:t>Benzophenone</w:t>
            </w:r>
          </w:p>
        </w:tc>
      </w:tr>
      <w:tr w14:paraId="37EC86F0" w14:textId="77777777" w:rsidTr="00DB13FE">
        <w:tblPrEx>
          <w:tblW w:w="5000" w:type="pct"/>
          <w:tblLayout w:type="fixed"/>
          <w:tblLook w:val="0000"/>
        </w:tblPrEx>
        <w:tc>
          <w:tcPr>
            <w:tcW w:w="607" w:type="dxa"/>
          </w:tcPr>
          <w:p w:rsidR="00F85C99" w:rsidRPr="002F6A28" w:rsidP="002F6A28" w14:paraId="563D09F1" w14:textId="77777777">
            <w:pPr>
              <w:spacing w:before="120" w:after="120"/>
              <w:jc w:val="left"/>
            </w:pPr>
            <w:r w:rsidRPr="002F6A28">
              <w:rPr>
                <w:b/>
              </w:rPr>
              <w:t>5.</w:t>
            </w:r>
          </w:p>
        </w:tc>
        <w:tc>
          <w:tcPr>
            <w:tcW w:w="8373" w:type="dxa"/>
          </w:tcPr>
          <w:p w:rsidR="00F85C99" w:rsidP="002F6A28" w14:paraId="7EB3532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Consultation paper: Proposed amendments to the Poisons Standard in relation to homosalate, oxybenzone and benzophenone; (19 page(s), in English)</w:t>
            </w:r>
          </w:p>
          <w:p w:rsidR="000C3B6C" w:rsidRPr="000C3B6C" w:rsidP="002F6A28" w14:paraId="408A72A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32C98" w:rsidRPr="00CE6C29" w:rsidP="002F6A28" w14:paraId="1A5E8A4E" w14:textId="77777777">
            <w:pPr>
              <w:spacing w:after="120"/>
              <w:rPr>
                <w:iCs/>
              </w:rPr>
            </w:pPr>
            <w:hyperlink r:id="rId5" w:tgtFrame="_blank" w:history="1">
              <w:r w:rsidRPr="00CE6C29">
                <w:rPr>
                  <w:iCs/>
                  <w:color w:val="0000FF"/>
                  <w:u w:val="single"/>
                </w:rPr>
                <w:t>https://consultations.tga.gov.au/tga/scheduling-pre-meeting-sunscreen-substances-sep-25/user_uploads/pre-meeting-public-notice---joint-41---homosalate-oxybenzone-benzophenone---sep-2025-1.pdf</w:t>
              </w:r>
            </w:hyperlink>
          </w:p>
        </w:tc>
      </w:tr>
      <w:tr w14:paraId="4CC69694" w14:textId="77777777" w:rsidTr="00DB13FE">
        <w:tblPrEx>
          <w:tblW w:w="5000" w:type="pct"/>
          <w:tblLayout w:type="fixed"/>
          <w:tblLook w:val="0000"/>
        </w:tblPrEx>
        <w:tc>
          <w:tcPr>
            <w:tcW w:w="607" w:type="dxa"/>
          </w:tcPr>
          <w:p w:rsidR="00F85C99" w:rsidRPr="002F6A28" w:rsidP="002F6A28" w14:paraId="08016C4C" w14:textId="77777777">
            <w:pPr>
              <w:spacing w:before="120" w:after="120"/>
              <w:jc w:val="left"/>
              <w:rPr>
                <w:b/>
              </w:rPr>
            </w:pPr>
            <w:r w:rsidRPr="002F6A28">
              <w:rPr>
                <w:b/>
              </w:rPr>
              <w:t>6.</w:t>
            </w:r>
          </w:p>
        </w:tc>
        <w:tc>
          <w:tcPr>
            <w:tcW w:w="8373" w:type="dxa"/>
          </w:tcPr>
          <w:p w:rsidR="00F85C99" w:rsidRPr="002F6A28" w:rsidP="002F6A28" w14:paraId="39A4618C" w14:textId="77777777">
            <w:pPr>
              <w:spacing w:before="120" w:after="120"/>
              <w:rPr>
                <w:b/>
              </w:rPr>
            </w:pPr>
            <w:r w:rsidRPr="002F6A28">
              <w:rPr>
                <w:b/>
              </w:rPr>
              <w:t>Description of content:</w:t>
            </w:r>
            <w:r w:rsidRPr="00C379C8" w:rsidR="00FE448B">
              <w:t xml:space="preserve"> The Therapeutic Goods Administration (TGA) has initiated a public consultation on proposed amendments to the </w:t>
            </w:r>
            <w:hyperlink r:id="rId6" w:history="1">
              <w:r w:rsidRPr="00C379C8" w:rsidR="00FE448B">
                <w:rPr>
                  <w:color w:val="0000FF"/>
                  <w:u w:val="single"/>
                </w:rPr>
                <w:t>Poisons Standard</w:t>
              </w:r>
            </w:hyperlink>
            <w:r w:rsidRPr="00C379C8" w:rsidR="00FE448B">
              <w:t>, aimed at enhancing the regulation of certain sunscreen ingredients and related substances. These proposals have been developed to ensure the safe use of chemicals in therapeutic and cosmetic sunscreens, while maintaining consistency across Australian jurisdictions.</w:t>
            </w:r>
          </w:p>
          <w:p w:rsidR="00FE448B" w:rsidRPr="00C379C8" w:rsidP="002F6A28" w14:paraId="723F0BB4" w14:textId="77777777">
            <w:pPr>
              <w:spacing w:before="120" w:after="120"/>
            </w:pPr>
            <w:r w:rsidRPr="00C379C8">
              <w:t>The consultation focuses on three substances:</w:t>
            </w:r>
          </w:p>
          <w:p w:rsidR="00FE448B" w:rsidRPr="00C379C8" w:rsidP="002F6A28" w14:paraId="77B0DC0B" w14:textId="77777777">
            <w:pPr>
              <w:numPr>
                <w:ilvl w:val="0"/>
                <w:numId w:val="17"/>
              </w:numPr>
              <w:spacing w:before="120" w:after="120"/>
            </w:pPr>
            <w:r w:rsidRPr="00C379C8">
              <w:t>Homosalate</w:t>
            </w:r>
          </w:p>
          <w:p w:rsidR="00FE448B" w:rsidRPr="00C379C8" w:rsidP="002F6A28" w14:paraId="56F68250" w14:textId="77777777">
            <w:pPr>
              <w:numPr>
                <w:ilvl w:val="0"/>
                <w:numId w:val="17"/>
              </w:numPr>
              <w:spacing w:before="120" w:after="120"/>
            </w:pPr>
            <w:r w:rsidRPr="00C379C8">
              <w:t>Oxybenzone</w:t>
            </w:r>
          </w:p>
          <w:p w:rsidR="00FE448B" w:rsidRPr="00C379C8" w:rsidP="002F6A28" w14:paraId="49F21BB1" w14:textId="77777777">
            <w:pPr>
              <w:numPr>
                <w:ilvl w:val="0"/>
                <w:numId w:val="17"/>
              </w:numPr>
              <w:spacing w:before="120" w:after="120"/>
            </w:pPr>
            <w:r w:rsidRPr="00C379C8">
              <w:t>Benzophenone (as an impurity/degradant)</w:t>
            </w:r>
          </w:p>
          <w:p w:rsidR="00FE448B" w:rsidRPr="00C379C8" w:rsidP="002F6A28" w14:paraId="681D2CF7" w14:textId="77777777">
            <w:pPr>
              <w:spacing w:before="120" w:after="120"/>
            </w:pPr>
            <w:r w:rsidRPr="00C379C8">
              <w:t>These substances are being considered for rescheduling based on emerging scientific evidence and international regulatory trends. The proposed amendments include options for:</w:t>
            </w:r>
          </w:p>
          <w:p w:rsidR="00FE448B" w:rsidRPr="00C379C8" w:rsidP="002F6A28" w14:paraId="4252ED80" w14:textId="77777777">
            <w:pPr>
              <w:numPr>
                <w:ilvl w:val="0"/>
                <w:numId w:val="18"/>
              </w:numPr>
              <w:spacing w:before="120" w:after="120"/>
            </w:pPr>
            <w:r w:rsidRPr="00C379C8">
              <w:t>restrictions on the maximum concentration of these substances in sunscreens</w:t>
            </w:r>
          </w:p>
          <w:p w:rsidR="00FE448B" w:rsidRPr="00C379C8" w:rsidP="002F6A28" w14:paraId="026E2550" w14:textId="77777777">
            <w:pPr>
              <w:numPr>
                <w:ilvl w:val="0"/>
                <w:numId w:val="18"/>
              </w:numPr>
              <w:spacing w:before="120" w:after="120"/>
            </w:pPr>
            <w:r w:rsidRPr="00C379C8">
              <w:t>restrictions based on application to parts of the body</w:t>
            </w:r>
          </w:p>
          <w:p w:rsidR="00FE448B" w:rsidRPr="00C379C8" w:rsidP="002F6A28" w14:paraId="569A316C" w14:textId="77777777">
            <w:pPr>
              <w:numPr>
                <w:ilvl w:val="0"/>
                <w:numId w:val="18"/>
              </w:numPr>
              <w:spacing w:before="120" w:after="120"/>
            </w:pPr>
            <w:r w:rsidRPr="00C379C8">
              <w:t>restrictions based on age of the consumer</w:t>
            </w:r>
          </w:p>
          <w:p w:rsidR="00FE448B" w:rsidRPr="00C379C8" w:rsidP="002F6A28" w14:paraId="7466E163" w14:textId="77777777">
            <w:pPr>
              <w:spacing w:before="120" w:after="120"/>
            </w:pPr>
            <w:r w:rsidRPr="00C379C8">
              <w:t>The proposed amendments have been referred to the Joint Advisory Committee on Medicines Scheduling (ACMS) and the Advisory Committee on Chemicals Scheduling (ACCS) at a meeting to be held on 17 September 2025. Following the public consultation and subsequent recommendations and advice from the Joint ACMS-ACCS, the delegate of the Secretary of the Department of Health, Disability and Ageing will make an interim decision. The Interim Decision that may incorporate one or more of the options (with modification)</w:t>
            </w:r>
            <w:r w:rsidRPr="00C379C8">
              <w:t xml:space="preserve"> for each substance. Neither the TGA nor the Delegate have formed a view at this time as to which options should be implemented or are preferred.</w:t>
            </w:r>
          </w:p>
          <w:p w:rsidR="00FE448B" w:rsidRPr="00C379C8" w:rsidP="002F6A28" w14:paraId="29E18C0D" w14:textId="77777777">
            <w:pPr>
              <w:spacing w:before="120" w:after="120"/>
            </w:pPr>
            <w:r w:rsidRPr="00C379C8">
              <w:t>The consultation was open to public comment until 12 August 2025, and all submissions will inform the delegate's interim decision.</w:t>
            </w:r>
          </w:p>
        </w:tc>
      </w:tr>
      <w:tr w14:paraId="055A5289" w14:textId="77777777" w:rsidTr="00DB13FE">
        <w:tblPrEx>
          <w:tblW w:w="5000" w:type="pct"/>
          <w:tblLayout w:type="fixed"/>
          <w:tblLook w:val="0000"/>
        </w:tblPrEx>
        <w:tc>
          <w:tcPr>
            <w:tcW w:w="607" w:type="dxa"/>
          </w:tcPr>
          <w:p w:rsidR="00F85C99" w:rsidRPr="002F6A28" w:rsidP="002F6A28" w14:paraId="798B8D05" w14:textId="77777777">
            <w:pPr>
              <w:spacing w:before="120" w:after="120"/>
              <w:jc w:val="left"/>
              <w:rPr>
                <w:b/>
              </w:rPr>
            </w:pPr>
            <w:r w:rsidRPr="002F6A28">
              <w:rPr>
                <w:b/>
              </w:rPr>
              <w:t>7.</w:t>
            </w:r>
          </w:p>
        </w:tc>
        <w:tc>
          <w:tcPr>
            <w:tcW w:w="8373" w:type="dxa"/>
          </w:tcPr>
          <w:p w:rsidR="00F85C99" w:rsidRPr="002F6A28" w:rsidP="002F6A28" w14:paraId="79ADF02D" w14:textId="77777777">
            <w:pPr>
              <w:spacing w:before="120" w:after="120"/>
              <w:rPr>
                <w:b/>
              </w:rPr>
            </w:pPr>
            <w:r w:rsidRPr="002F6A28">
              <w:rPr>
                <w:b/>
              </w:rPr>
              <w:t>Objective and rationale, including the nature of urgent problems where applicable:</w:t>
            </w:r>
            <w:r w:rsidRPr="00C379C8" w:rsidR="00EE3A11">
              <w:t xml:space="preserve"> The proposed amendments to the Poisons Standard aim to improve consumer safety and product transparency by regulating the use of homosalate, oxybenzone, and benzophenone in sunscreen products. These changes are based on updated safety reviews and international regulatory developments.</w:t>
            </w:r>
          </w:p>
          <w:p w:rsidR="00EE3A11" w:rsidRPr="00C379C8" w:rsidP="002F6A28" w14:paraId="20E3D5D3" w14:textId="77777777">
            <w:pPr>
              <w:spacing w:before="120" w:after="120"/>
            </w:pPr>
            <w:r w:rsidRPr="00C379C8">
              <w:t>The measure ensures that products containing these substances are appropriately labelled and restricted to safe concentrations, thereby reducing potential health risks from prolonged exposure. It supports informed consumer choice and aligns with global best practices in chemical safety.</w:t>
            </w:r>
          </w:p>
          <w:p w:rsidR="00EE3A11" w:rsidRPr="00C379C8" w:rsidP="002F6A28" w14:paraId="5F8ED3A5" w14:textId="77777777">
            <w:pPr>
              <w:spacing w:before="120" w:after="120"/>
            </w:pPr>
            <w:r w:rsidRPr="00C379C8">
              <w:t>This approach balances public health protection with minimal disruption to trade and industry. It allows for continued use in products that meet safety thresholds. ; Protection of human health or safety</w:t>
            </w:r>
          </w:p>
        </w:tc>
      </w:tr>
      <w:tr w14:paraId="1177971F" w14:textId="77777777" w:rsidTr="00DB13FE">
        <w:tblPrEx>
          <w:tblW w:w="5000" w:type="pct"/>
          <w:tblLayout w:type="fixed"/>
          <w:tblLook w:val="0000"/>
        </w:tblPrEx>
        <w:tc>
          <w:tcPr>
            <w:tcW w:w="607" w:type="dxa"/>
          </w:tcPr>
          <w:p w:rsidR="00F85C99" w:rsidRPr="002F6A28" w:rsidP="009E75ED" w14:paraId="751D1354" w14:textId="77777777">
            <w:pPr>
              <w:spacing w:before="120" w:after="120"/>
              <w:jc w:val="left"/>
              <w:rPr>
                <w:b/>
              </w:rPr>
            </w:pPr>
            <w:r w:rsidRPr="002F6A28">
              <w:rPr>
                <w:b/>
              </w:rPr>
              <w:t>8.</w:t>
            </w:r>
          </w:p>
        </w:tc>
        <w:tc>
          <w:tcPr>
            <w:tcW w:w="8373" w:type="dxa"/>
          </w:tcPr>
          <w:p w:rsidR="000C3B6C" w:rsidRPr="00EC00D2" w:rsidP="007F13E8" w14:paraId="777B7B3E" w14:textId="77777777">
            <w:pPr>
              <w:spacing w:before="120" w:after="120"/>
              <w:rPr>
                <w:bCs/>
              </w:rPr>
            </w:pPr>
            <w:r w:rsidRPr="002F6A28">
              <w:rPr>
                <w:b/>
              </w:rPr>
              <w:t>Relevant documents:</w:t>
            </w:r>
            <w:r w:rsidRPr="002F6A28" w:rsidR="00EE3A11">
              <w:t xml:space="preserve"> </w:t>
            </w:r>
          </w:p>
          <w:p w:rsidR="00EE3A11" w:rsidRPr="002F6A28" w:rsidP="007F13E8" w14:paraId="5733F1EF" w14:textId="77777777">
            <w:pPr>
              <w:spacing w:before="120" w:after="120"/>
            </w:pPr>
            <w:r w:rsidRPr="002F6A28">
              <w:t xml:space="preserve">Safety Review of 7 active ingredients in therapeutic Sunscreens </w:t>
            </w:r>
            <w:hyperlink r:id="rId7" w:history="1">
              <w:r w:rsidRPr="002F6A28">
                <w:rPr>
                  <w:color w:val="0000FF"/>
                  <w:u w:val="single"/>
                </w:rPr>
                <w:t>Safety review of seven active sunscreen ingredients</w:t>
              </w:r>
            </w:hyperlink>
          </w:p>
          <w:p w:rsidR="00EE3A11" w:rsidRPr="002F6A28" w:rsidP="007F13E8" w14:paraId="7ED533C3" w14:textId="77777777">
            <w:pPr>
              <w:spacing w:before="120" w:after="120"/>
            </w:pPr>
            <w:r w:rsidRPr="002F6A28">
              <w:t xml:space="preserve">Safety review of Benzophenone </w:t>
            </w:r>
            <w:hyperlink r:id="rId8" w:history="1">
              <w:r w:rsidRPr="002F6A28">
                <w:rPr>
                  <w:color w:val="0000FF"/>
                  <w:u w:val="single"/>
                </w:rPr>
                <w:t>Safety review of benzophenone | Therapeutic Goods Administration (TGA)</w:t>
              </w:r>
            </w:hyperlink>
          </w:p>
          <w:p w:rsidR="00EE3A11" w:rsidRPr="002F6A28" w:rsidP="007F13E8" w14:paraId="542FCD27" w14:textId="77777777">
            <w:pPr>
              <w:spacing w:before="120" w:after="120"/>
            </w:pPr>
            <w:r w:rsidRPr="002F6A28">
              <w:t xml:space="preserve">Evaluation statement on homosalate (AICIS) </w:t>
            </w:r>
            <w:hyperlink r:id="rId9" w:history="1">
              <w:r w:rsidRPr="002F6A28">
                <w:rPr>
                  <w:color w:val="0000FF"/>
                  <w:u w:val="single"/>
                </w:rPr>
                <w:t>Benzoic acid, 2-hydroxy-, 3,3,5-trimethylcyclohexyl ester (Homosalate) - Evaluation statement - 16 December 2024</w:t>
              </w:r>
            </w:hyperlink>
          </w:p>
          <w:p w:rsidR="00EE3A11" w:rsidRPr="002F6A28" w:rsidP="007F13E8" w14:paraId="48DE4130" w14:textId="77777777">
            <w:pPr>
              <w:spacing w:before="120" w:after="120"/>
            </w:pPr>
            <w:r w:rsidRPr="002F6A28">
              <w:t xml:space="preserve">Evaluation statement on Benzophenone (AICIS) </w:t>
            </w:r>
            <w:hyperlink r:id="rId10" w:history="1">
              <w:r w:rsidRPr="002F6A28">
                <w:rPr>
                  <w:color w:val="0000FF"/>
                  <w:u w:val="single"/>
                </w:rPr>
                <w:t>Methanone, diphenyl- (Benzophenone) - Evaluation statement - 26 June 2025</w:t>
              </w:r>
            </w:hyperlink>
          </w:p>
        </w:tc>
      </w:tr>
      <w:tr w14:paraId="6E389A29" w14:textId="77777777" w:rsidTr="00DB13FE">
        <w:tblPrEx>
          <w:tblW w:w="5000" w:type="pct"/>
          <w:tblLayout w:type="fixed"/>
          <w:tblLook w:val="0000"/>
        </w:tblPrEx>
        <w:tc>
          <w:tcPr>
            <w:tcW w:w="607" w:type="dxa"/>
          </w:tcPr>
          <w:p w:rsidR="00EE3A11" w:rsidRPr="002F6A28" w:rsidP="002F6A28" w14:paraId="33ED3B15" w14:textId="77777777">
            <w:pPr>
              <w:spacing w:before="120" w:after="120"/>
              <w:jc w:val="left"/>
              <w:rPr>
                <w:b/>
              </w:rPr>
            </w:pPr>
            <w:r w:rsidRPr="002F6A28">
              <w:rPr>
                <w:b/>
              </w:rPr>
              <w:t>9.</w:t>
            </w:r>
          </w:p>
        </w:tc>
        <w:tc>
          <w:tcPr>
            <w:tcW w:w="8373" w:type="dxa"/>
          </w:tcPr>
          <w:p w:rsidR="00EE3A11" w:rsidRPr="002F6A28" w:rsidP="008953C4" w14:paraId="2F005EA9" w14:textId="77777777">
            <w:pPr>
              <w:spacing w:before="120" w:after="120"/>
            </w:pPr>
            <w:r w:rsidRPr="002F6A28">
              <w:rPr>
                <w:b/>
              </w:rPr>
              <w:t>Proposed date of adoption:</w:t>
            </w:r>
            <w:r w:rsidRPr="00C379C8">
              <w:t xml:space="preserve"> To be determined; A proposed date will be published with the Interim Decision.</w:t>
            </w:r>
          </w:p>
          <w:p w:rsidR="00EE3A11" w:rsidRPr="002F6A28" w:rsidP="008953C4" w14:paraId="3C3C3E8E" w14:textId="77777777">
            <w:pPr>
              <w:spacing w:after="120"/>
            </w:pPr>
            <w:r w:rsidRPr="002F6A28">
              <w:rPr>
                <w:b/>
              </w:rPr>
              <w:t>Proposed date of entry into force:</w:t>
            </w:r>
            <w:r w:rsidRPr="00C379C8">
              <w:t xml:space="preserve"> To be determined; A proposed date will be published with the Interim Decision.</w:t>
            </w:r>
          </w:p>
        </w:tc>
      </w:tr>
      <w:tr w14:paraId="121F22FA" w14:textId="77777777" w:rsidTr="00DB13FE">
        <w:tblPrEx>
          <w:tblW w:w="5000" w:type="pct"/>
          <w:tblLayout w:type="fixed"/>
          <w:tblLook w:val="0000"/>
        </w:tblPrEx>
        <w:tc>
          <w:tcPr>
            <w:tcW w:w="607" w:type="dxa"/>
            <w:tcBorders>
              <w:bottom w:val="double" w:sz="4" w:space="0" w:color="auto"/>
            </w:tcBorders>
          </w:tcPr>
          <w:p w:rsidR="00F85C99" w:rsidRPr="002F6A28" w:rsidP="002F6A28" w14:paraId="0C7F092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08F43E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32C14B7" w14:textId="77777777">
            <w:pPr>
              <w:spacing w:before="120" w:after="120"/>
              <w:rPr>
                <w:bCs/>
              </w:rPr>
            </w:pPr>
            <w:r w:rsidRPr="002F6A28">
              <w:rPr>
                <w:b/>
              </w:rPr>
              <w:t>Final date for comments:</w:t>
            </w:r>
            <w:r w:rsidRPr="00C379C8" w:rsidR="00EE3A11">
              <w:t xml:space="preserve"> 5 October 2025 (45 days from notification)</w:t>
            </w:r>
          </w:p>
          <w:p w:rsidR="000C3B6C" w:rsidRPr="00E3324D" w:rsidP="000C3B6C" w14:paraId="1D235B45"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70711A2D" w14:textId="77777777">
            <w:pPr>
              <w:tabs>
                <w:tab w:val="left" w:pos="1418"/>
                <w:tab w:val="left" w:pos="2127"/>
                <w:tab w:val="left" w:pos="2835"/>
                <w:tab w:val="left" w:pos="3402"/>
              </w:tabs>
              <w:spacing w:before="120" w:after="120"/>
            </w:pPr>
            <w:r w:rsidRPr="006A4C49">
              <w:t>A 45-day period is considered appropriate in this instance, as an Interim Decision is not expected until at least October 2025. Stakeholders will have a second opportunity to provide input during the public consultation following the Interim Decision, prior to any Final Decision being made.</w:t>
            </w:r>
          </w:p>
          <w:p w:rsidR="000C3B6C" w:rsidRPr="002F6A28" w:rsidP="000C3B6C" w14:paraId="3E062A1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D88BE32" w14:textId="77777777">
            <w:r w:rsidRPr="00CE6C29">
              <w:t>WTO TBT Enquiry Point</w:t>
            </w:r>
          </w:p>
          <w:p w:rsidR="00CE6C29" w:rsidRPr="00CE6C29" w:rsidP="000C3B6C" w14:paraId="51F54CD8" w14:textId="77777777">
            <w:r w:rsidRPr="00CE6C29">
              <w:t>Office of Global Trade Negotiations</w:t>
            </w:r>
          </w:p>
          <w:p w:rsidR="00CE6C29" w:rsidRPr="00CE6C29" w:rsidP="000C3B6C" w14:paraId="4A91DBA7" w14:textId="77777777">
            <w:r w:rsidRPr="00CE6C29">
              <w:t>Department of Foreign Affairs and Trade</w:t>
            </w:r>
          </w:p>
          <w:p w:rsidR="00CE6C29" w:rsidRPr="00CE6C29" w:rsidP="000C3B6C" w14:paraId="58A45FB2" w14:textId="77777777">
            <w:r w:rsidRPr="00CE6C29">
              <w:t>Canberra</w:t>
            </w:r>
          </w:p>
          <w:p w:rsidR="00CE6C29" w:rsidRPr="00CE6C29" w:rsidP="000C3B6C" w14:paraId="34F81B30" w14:textId="77777777">
            <w:r w:rsidRPr="00CE6C29">
              <w:t>Tel: +(61) 2 6261 1111</w:t>
            </w:r>
          </w:p>
          <w:p w:rsidR="00CE6C29" w:rsidRPr="00CE6C29" w:rsidP="000C3B6C" w14:paraId="2D37CD04" w14:textId="77777777">
            <w:r w:rsidRPr="00CE6C29">
              <w:t xml:space="preserve">Email: </w:t>
            </w:r>
            <w:hyperlink r:id="rId11" w:history="1">
              <w:r w:rsidRPr="00CE6C29">
                <w:rPr>
                  <w:color w:val="0000FF"/>
                  <w:u w:val="single"/>
                </w:rPr>
                <w:t>tbt.enquiry@dfat.gov.au</w:t>
              </w:r>
            </w:hyperlink>
          </w:p>
          <w:p w:rsidR="00CE6C29" w:rsidRPr="00CE6C29" w:rsidP="000C3B6C" w14:paraId="50C0DE5B" w14:textId="77777777">
            <w:pPr>
              <w:spacing w:after="120"/>
            </w:pPr>
            <w:r w:rsidRPr="00CE6C29">
              <w:t xml:space="preserve">Website: </w:t>
            </w:r>
            <w:hyperlink r:id="rId12" w:tgtFrame="_blank" w:history="1">
              <w:r w:rsidRPr="00CE6C29">
                <w:rPr>
                  <w:color w:val="0000FF"/>
                  <w:u w:val="single"/>
                </w:rPr>
                <w:t>https://www.dfat.gov.au/</w:t>
              </w:r>
            </w:hyperlink>
          </w:p>
        </w:tc>
      </w:tr>
    </w:tbl>
    <w:p w:rsidR="00EE3A11" w:rsidRPr="002F6A28" w:rsidP="00887259" w14:paraId="4F8D8319"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4ABC4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FB271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8B1CC0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0F9167" w14:textId="77777777">
    <w:pPr>
      <w:pStyle w:val="Header"/>
      <w:pBdr>
        <w:bottom w:val="single" w:sz="4" w:space="1" w:color="auto"/>
      </w:pBdr>
      <w:tabs>
        <w:tab w:val="clear" w:pos="4513"/>
        <w:tab w:val="clear" w:pos="9027"/>
      </w:tabs>
      <w:jc w:val="center"/>
    </w:pPr>
    <w:r w:rsidRPr="002F6A28">
      <w:t>tbtSymbol</w:t>
    </w:r>
  </w:p>
  <w:p w:rsidR="009239F7" w:rsidRPr="002F6A28" w:rsidP="009239F7" w14:paraId="224A0099" w14:textId="77777777">
    <w:pPr>
      <w:pStyle w:val="Header"/>
      <w:pBdr>
        <w:bottom w:val="single" w:sz="4" w:space="1" w:color="auto"/>
      </w:pBdr>
      <w:tabs>
        <w:tab w:val="clear" w:pos="4513"/>
        <w:tab w:val="clear" w:pos="9027"/>
      </w:tabs>
      <w:jc w:val="center"/>
    </w:pPr>
  </w:p>
  <w:p w:rsidR="009239F7" w:rsidRPr="002F6A28" w:rsidP="009239F7" w14:paraId="0C05C1C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3E8B59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BF0181" w14:textId="77777777">
    <w:pPr>
      <w:pStyle w:val="Header"/>
      <w:pBdr>
        <w:bottom w:val="single" w:sz="4" w:space="1" w:color="auto"/>
      </w:pBdr>
      <w:tabs>
        <w:tab w:val="clear" w:pos="4513"/>
        <w:tab w:val="clear" w:pos="9027"/>
      </w:tabs>
      <w:jc w:val="center"/>
    </w:pPr>
    <w:bookmarkStart w:id="0" w:name="spsSymbolHeader"/>
    <w:r w:rsidRPr="002F6A28">
      <w:t>G/TBT/N/AUS/183</w:t>
    </w:r>
    <w:bookmarkEnd w:id="0"/>
  </w:p>
  <w:p w:rsidR="009239F7" w:rsidRPr="002F6A28" w:rsidP="009239F7" w14:paraId="16A97933" w14:textId="77777777">
    <w:pPr>
      <w:pStyle w:val="Header"/>
      <w:pBdr>
        <w:bottom w:val="single" w:sz="4" w:space="1" w:color="auto"/>
      </w:pBdr>
      <w:tabs>
        <w:tab w:val="clear" w:pos="4513"/>
        <w:tab w:val="clear" w:pos="9027"/>
      </w:tabs>
      <w:jc w:val="center"/>
    </w:pPr>
  </w:p>
  <w:p w:rsidR="009239F7" w:rsidRPr="002F6A28" w:rsidP="009239F7" w14:paraId="7E9B4A0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2672F63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88456E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94A4E7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2B08252" w14:textId="77777777">
          <w:pPr>
            <w:jc w:val="right"/>
            <w:rPr>
              <w:b/>
              <w:color w:val="FF0000"/>
              <w:szCs w:val="16"/>
            </w:rPr>
          </w:pPr>
        </w:p>
      </w:tc>
    </w:tr>
    <w:bookmarkEnd w:id="1"/>
    <w:tr w14:paraId="58C7A57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80606C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A3FB31F" w14:textId="77777777">
          <w:pPr>
            <w:jc w:val="right"/>
            <w:rPr>
              <w:b/>
              <w:szCs w:val="16"/>
            </w:rPr>
          </w:pPr>
        </w:p>
      </w:tc>
    </w:tr>
    <w:tr w14:paraId="182C6F1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E24CEE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5235979" w14:textId="77777777">
          <w:pPr>
            <w:jc w:val="right"/>
            <w:rPr>
              <w:b/>
              <w:szCs w:val="16"/>
            </w:rPr>
          </w:pPr>
          <w:bookmarkStart w:id="2" w:name="bmkSymbols"/>
          <w:r w:rsidRPr="002F6A28">
            <w:rPr>
              <w:b/>
              <w:szCs w:val="16"/>
            </w:rPr>
            <w:t>G/TBT/N/AUS/183</w:t>
          </w:r>
          <w:bookmarkEnd w:id="2"/>
        </w:p>
      </w:tc>
    </w:tr>
    <w:tr w14:paraId="4ABCC19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BADBF88" w14:textId="77777777"/>
      </w:tc>
      <w:tc>
        <w:tcPr>
          <w:tcW w:w="5448" w:type="dxa"/>
          <w:gridSpan w:val="2"/>
          <w:shd w:val="clear" w:color="auto" w:fill="FFFFFF"/>
          <w:tcMar>
            <w:left w:w="108" w:type="dxa"/>
            <w:right w:w="108" w:type="dxa"/>
          </w:tcMar>
          <w:vAlign w:val="center"/>
        </w:tcPr>
        <w:p w:rsidR="00ED54E0" w:rsidRPr="009239F7" w:rsidP="00B801E9" w14:paraId="5399B4DF" w14:textId="77777777">
          <w:pPr>
            <w:jc w:val="right"/>
            <w:rPr>
              <w:szCs w:val="16"/>
            </w:rPr>
          </w:pPr>
          <w:bookmarkStart w:id="3" w:name="spsDateDistribution"/>
          <w:bookmarkStart w:id="4" w:name="bmkDate"/>
          <w:r w:rsidRPr="009239F7">
            <w:rPr>
              <w:szCs w:val="16"/>
            </w:rPr>
            <w:t>21 August 2025</w:t>
          </w:r>
          <w:bookmarkEnd w:id="3"/>
          <w:bookmarkEnd w:id="4"/>
        </w:p>
      </w:tc>
    </w:tr>
    <w:tr w14:paraId="53D43AC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65B1A31" w14:textId="77777777">
          <w:pPr>
            <w:jc w:val="left"/>
            <w:rPr>
              <w:b/>
            </w:rPr>
          </w:pPr>
          <w:bookmarkStart w:id="5" w:name="bmkSerial"/>
          <w:r>
            <w:rPr>
              <w:b w:val="0"/>
              <w:color w:val="FF0000"/>
            </w:rPr>
            <w:t>(25-5213)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00891F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5B72588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FDF7E7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C029DF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CBA35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05658271">
    <w:abstractNumId w:val="9"/>
  </w:num>
  <w:num w:numId="2" w16cid:durableId="1159465961">
    <w:abstractNumId w:val="7"/>
  </w:num>
  <w:num w:numId="3" w16cid:durableId="1116755120">
    <w:abstractNumId w:val="6"/>
  </w:num>
  <w:num w:numId="4" w16cid:durableId="1546021805">
    <w:abstractNumId w:val="5"/>
  </w:num>
  <w:num w:numId="5" w16cid:durableId="1261837290">
    <w:abstractNumId w:val="4"/>
  </w:num>
  <w:num w:numId="6" w16cid:durableId="1837988993">
    <w:abstractNumId w:val="12"/>
  </w:num>
  <w:num w:numId="7" w16cid:durableId="1639532409">
    <w:abstractNumId w:val="11"/>
  </w:num>
  <w:num w:numId="8" w16cid:durableId="2051416998">
    <w:abstractNumId w:val="10"/>
  </w:num>
  <w:num w:numId="9" w16cid:durableId="8578173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3859650">
    <w:abstractNumId w:val="13"/>
  </w:num>
  <w:num w:numId="11" w16cid:durableId="901674532">
    <w:abstractNumId w:val="8"/>
  </w:num>
  <w:num w:numId="12" w16cid:durableId="766776278">
    <w:abstractNumId w:val="3"/>
  </w:num>
  <w:num w:numId="13" w16cid:durableId="1482888593">
    <w:abstractNumId w:val="2"/>
  </w:num>
  <w:num w:numId="14" w16cid:durableId="1981882207">
    <w:abstractNumId w:val="1"/>
  </w:num>
  <w:num w:numId="15" w16cid:durableId="1450197143">
    <w:abstractNumId w:val="0"/>
  </w:num>
  <w:num w:numId="16" w16cid:durableId="1648778254">
    <w:abstractNumId w:val="14"/>
  </w:num>
  <w:num w:numId="17" w16cid:durableId="589654530">
    <w:abstractNumId w:val="15"/>
  </w:num>
  <w:num w:numId="18" w16cid:durableId="8733435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0CD4"/>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32C98"/>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EE45C7"/>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499E7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industrialchemicals.gov.au/sites/default/files/2025-06/EVA00184%20-%20Evaluation%20statement%20-%2026%20June%202025.pdf" TargetMode="External" /><Relationship Id="rId11" Type="http://schemas.openxmlformats.org/officeDocument/2006/relationships/hyperlink" Target="mailto:tbt.enquiry@dfat.gov.au" TargetMode="External" /><Relationship Id="rId12" Type="http://schemas.openxmlformats.org/officeDocument/2006/relationships/hyperlink" Target="https://www.dfat.gov.au/"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consultations.tga.gov.au/tga/scheduling-pre-meeting-sunscreen-substances-sep-25/user_uploads/pre-meeting-public-notice---joint-41---homosalate-oxybenzone-benzophenone---sep-2025-1.pdf" TargetMode="External" /><Relationship Id="rId6" Type="http://schemas.openxmlformats.org/officeDocument/2006/relationships/hyperlink" Target="https://www.legislation.gov.au/F2025L00599/asmade/text" TargetMode="External" /><Relationship Id="rId7" Type="http://schemas.openxmlformats.org/officeDocument/2006/relationships/hyperlink" Target="https://www.tga.gov.au/sites/default/files/2025-04/safety-review-seven-active-sunscreen-ingredients.pdf" TargetMode="External" /><Relationship Id="rId8" Type="http://schemas.openxmlformats.org/officeDocument/2006/relationships/hyperlink" Target="https://www.tga.gov.au/resources/publication/publications/safety-review-benzophenone" TargetMode="External" /><Relationship Id="rId9" Type="http://schemas.openxmlformats.org/officeDocument/2006/relationships/hyperlink" Target="https://www.industrialchemicals.gov.au/sites/default/files/2024-12/EVA00162%20-%20Evaluation%20Statement%20-%2016%20December%202024.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895</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2025-08-21T08:45:00Z</dcterms:created>
  <dcterms:modified xsi:type="dcterms:W3CDTF">2025-08-21T08:45:00Z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