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A62F93B" w14:textId="77777777">
      <w:pPr>
        <w:pStyle w:val="Title"/>
      </w:pPr>
      <w:r w:rsidRPr="002F663C">
        <w:t>NOTIFICATION</w:t>
      </w:r>
    </w:p>
    <w:p w:rsidR="002F663C" w:rsidRPr="002F663C" w:rsidP="00DD3DD7" w14:paraId="52003841" w14:textId="77777777">
      <w:pPr>
        <w:pStyle w:val="Title3"/>
      </w:pPr>
      <w:r w:rsidRPr="002F663C">
        <w:t>Addendum</w:t>
      </w:r>
    </w:p>
    <w:p w:rsidR="002F663C" w:rsidP="001E2E4A" w14:paraId="6D7AFE1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18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Israel</w:t>
      </w:r>
      <w:r w:rsidRPr="002F663C">
        <w:rPr>
          <w:rFonts w:eastAsia="Calibri" w:cs="Times New Roman"/>
        </w:rPr>
        <w:t>.</w:t>
      </w:r>
    </w:p>
    <w:p w:rsidR="001E2E4A" w:rsidRPr="002F663C" w:rsidP="001E2E4A" w14:paraId="22718D99" w14:textId="77777777">
      <w:pPr>
        <w:rPr>
          <w:rFonts w:eastAsia="Calibri" w:cs="Times New Roman"/>
        </w:rPr>
      </w:pPr>
    </w:p>
    <w:p w:rsidR="002F663C" w:rsidRPr="002F663C" w:rsidP="002F663C" w14:paraId="7951DBB4" w14:textId="77777777">
      <w:pPr>
        <w:jc w:val="center"/>
        <w:rPr>
          <w:rFonts w:eastAsia="Calibri" w:cs="Times New Roman"/>
          <w:b/>
        </w:rPr>
      </w:pPr>
      <w:r w:rsidRPr="002F663C">
        <w:rPr>
          <w:rFonts w:eastAsia="Calibri" w:cs="Times New Roman"/>
          <w:b/>
        </w:rPr>
        <w:t>_______________</w:t>
      </w:r>
    </w:p>
    <w:p w:rsidR="002F663C" w:rsidP="002F663C" w14:paraId="54668046" w14:textId="77777777">
      <w:pPr>
        <w:rPr>
          <w:rFonts w:eastAsia="Calibri" w:cs="Times New Roman"/>
        </w:rPr>
      </w:pPr>
    </w:p>
    <w:p w:rsidR="00C14444" w:rsidRPr="002F663C" w:rsidP="002F663C" w14:paraId="7B53EF3E" w14:textId="77777777">
      <w:pPr>
        <w:rPr>
          <w:rFonts w:eastAsia="Calibri" w:cs="Times New Roman"/>
        </w:rPr>
      </w:pPr>
    </w:p>
    <w:p w:rsidR="002F663C" w:rsidRPr="002F663C" w:rsidP="002F663C" w14:paraId="5E0E1A5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Public Health Protection (Food) (Application of Changes to the Annex to the EU Regulation 231/2012 - Specifications for food additives listed in Annexes II and III to Regulation (EC) No 1333/2008 of the European Parliament), 5785 – 2025</w:t>
      </w:r>
    </w:p>
    <w:p w:rsidR="002F663C" w:rsidRPr="002F663C" w:rsidP="002F663C" w14:paraId="5E15E03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41DDAE4"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A002E7" w14:paraId="08475894" w14:textId="77777777">
            <w:pPr>
              <w:spacing w:before="120" w:after="60"/>
              <w:ind w:left="567" w:hanging="567"/>
              <w:rPr>
                <w:rFonts w:eastAsia="Calibri" w:cs="Times New Roman"/>
                <w:b/>
              </w:rPr>
            </w:pPr>
            <w:bookmarkStart w:id="0" w:name="_Hlk24973414"/>
            <w:r w:rsidRPr="002F663C">
              <w:rPr>
                <w:rFonts w:eastAsia="Calibri" w:cs="Times New Roman"/>
                <w:b/>
              </w:rPr>
              <w:t>Reason for Addendum:</w:t>
            </w:r>
          </w:p>
        </w:tc>
      </w:tr>
      <w:tr w14:paraId="6B23CE58" w14:textId="77777777" w:rsidTr="00E9471B">
        <w:tblPrEx>
          <w:tblW w:w="9049" w:type="dxa"/>
          <w:tblLayout w:type="fixed"/>
          <w:tblLook w:val="04A0"/>
        </w:tblPrEx>
        <w:tc>
          <w:tcPr>
            <w:tcW w:w="851" w:type="dxa"/>
          </w:tcPr>
          <w:p w:rsidR="002F663C" w:rsidRPr="00711F9C" w:rsidP="00A002E7" w14:paraId="78632E59" w14:textId="77777777">
            <w:pPr>
              <w:spacing w:before="12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A002E7" w14:paraId="0FF5FE27" w14:textId="77777777">
            <w:pPr>
              <w:spacing w:before="12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F9032A4" w14:textId="77777777" w:rsidTr="00E9471B">
        <w:tblPrEx>
          <w:tblW w:w="9049" w:type="dxa"/>
          <w:tblLayout w:type="fixed"/>
          <w:tblLook w:val="04A0"/>
        </w:tblPrEx>
        <w:tc>
          <w:tcPr>
            <w:tcW w:w="851" w:type="dxa"/>
          </w:tcPr>
          <w:p w:rsidR="002F663C" w:rsidRPr="00711F9C" w:rsidP="00A002E7" w14:paraId="57AFFE4D" w14:textId="77777777">
            <w:pPr>
              <w:spacing w:before="120" w:after="60"/>
              <w:rPr>
                <w:rFonts w:eastAsia="Calibri" w:cs="Times New Roman"/>
                <w:szCs w:val="18"/>
              </w:rPr>
            </w:pPr>
            <w:r w:rsidRPr="00711F9C">
              <w:rPr>
                <w:rFonts w:eastAsia="Calibri" w:cs="Times New Roman"/>
                <w:szCs w:val="18"/>
              </w:rPr>
              <w:t>[ ]</w:t>
            </w:r>
          </w:p>
        </w:tc>
        <w:tc>
          <w:tcPr>
            <w:tcW w:w="8198" w:type="dxa"/>
          </w:tcPr>
          <w:p w:rsidR="002F663C" w:rsidRPr="002F663C" w:rsidP="00A002E7" w14:paraId="15BBC563" w14:textId="77777777">
            <w:pPr>
              <w:spacing w:before="12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912394E" w14:textId="77777777" w:rsidTr="00E9471B">
        <w:tblPrEx>
          <w:tblW w:w="9049" w:type="dxa"/>
          <w:tblLayout w:type="fixed"/>
          <w:tblLook w:val="04A0"/>
        </w:tblPrEx>
        <w:tc>
          <w:tcPr>
            <w:tcW w:w="851" w:type="dxa"/>
          </w:tcPr>
          <w:p w:rsidR="002F663C" w:rsidRPr="00711F9C" w:rsidP="00A002E7" w14:paraId="39F3A8F3" w14:textId="77777777">
            <w:pPr>
              <w:spacing w:before="120" w:after="60"/>
              <w:rPr>
                <w:rFonts w:eastAsia="Calibri" w:cs="Times New Roman"/>
                <w:szCs w:val="18"/>
              </w:rPr>
            </w:pPr>
            <w:r w:rsidRPr="00711F9C">
              <w:rPr>
                <w:rFonts w:eastAsia="Calibri" w:cs="Times New Roman"/>
                <w:szCs w:val="18"/>
              </w:rPr>
              <w:t>[X]</w:t>
            </w:r>
          </w:p>
        </w:tc>
        <w:tc>
          <w:tcPr>
            <w:tcW w:w="8198" w:type="dxa"/>
          </w:tcPr>
          <w:p w:rsidR="002F663C" w:rsidRPr="002F663C" w:rsidP="00A002E7" w14:paraId="53A55748" w14:textId="77777777">
            <w:pPr>
              <w:spacing w:before="120" w:after="60"/>
              <w:rPr>
                <w:rFonts w:eastAsia="Calibri" w:cs="Times New Roman"/>
              </w:rPr>
            </w:pPr>
            <w:r>
              <w:rPr>
                <w:rFonts w:eastAsia="Calibri" w:cs="Times New Roman"/>
              </w:rPr>
              <w:t>N</w:t>
            </w:r>
            <w:r w:rsidRPr="002F663C">
              <w:rPr>
                <w:rFonts w:eastAsia="Calibri" w:cs="Times New Roman"/>
              </w:rPr>
              <w:t>otified measure published - date: 17 August 2025</w:t>
            </w:r>
          </w:p>
        </w:tc>
      </w:tr>
      <w:tr w14:paraId="3B79AE31" w14:textId="77777777" w:rsidTr="00E9471B">
        <w:tblPrEx>
          <w:tblW w:w="9049" w:type="dxa"/>
          <w:tblLayout w:type="fixed"/>
          <w:tblLook w:val="04A0"/>
        </w:tblPrEx>
        <w:tc>
          <w:tcPr>
            <w:tcW w:w="851" w:type="dxa"/>
          </w:tcPr>
          <w:p w:rsidR="002F663C" w:rsidRPr="00711F9C" w:rsidP="00A002E7" w14:paraId="1B2D1824" w14:textId="77777777">
            <w:pPr>
              <w:spacing w:before="120" w:after="60"/>
              <w:rPr>
                <w:rFonts w:eastAsia="Calibri" w:cs="Times New Roman"/>
                <w:szCs w:val="18"/>
              </w:rPr>
            </w:pPr>
            <w:r w:rsidRPr="00711F9C">
              <w:rPr>
                <w:rFonts w:eastAsia="Calibri" w:cs="Times New Roman"/>
                <w:szCs w:val="18"/>
              </w:rPr>
              <w:t>[X]</w:t>
            </w:r>
          </w:p>
        </w:tc>
        <w:tc>
          <w:tcPr>
            <w:tcW w:w="8198" w:type="dxa"/>
          </w:tcPr>
          <w:p w:rsidR="002F663C" w:rsidRPr="002F663C" w:rsidP="00A002E7" w14:paraId="2C03D666" w14:textId="77777777">
            <w:pPr>
              <w:spacing w:before="120" w:after="60"/>
              <w:rPr>
                <w:rFonts w:eastAsia="Calibri" w:cs="Times New Roman"/>
              </w:rPr>
            </w:pPr>
            <w:r>
              <w:rPr>
                <w:rFonts w:eastAsia="Calibri" w:cs="Times New Roman"/>
              </w:rPr>
              <w:t>N</w:t>
            </w:r>
            <w:r w:rsidRPr="002F663C">
              <w:rPr>
                <w:rFonts w:eastAsia="Calibri" w:cs="Times New Roman"/>
              </w:rPr>
              <w:t xml:space="preserve">otified measure enters into force - date: </w:t>
            </w:r>
            <w:r w:rsidRPr="002F663C">
              <w:rPr>
                <w:rFonts w:eastAsia="Calibri" w:cs="Times New Roman"/>
              </w:rPr>
              <w:t>The conditions of use of the following food additives will enter into force as follows:</w:t>
            </w:r>
          </w:p>
          <w:p w:rsidR="002F663C" w:rsidRPr="002F663C" w:rsidP="00A002E7" w14:paraId="2A44DF2C" w14:textId="77777777">
            <w:pPr>
              <w:spacing w:before="120" w:after="60"/>
              <w:rPr>
                <w:rFonts w:eastAsia="Calibri" w:cs="Times New Roman"/>
              </w:rPr>
            </w:pPr>
            <w:r w:rsidRPr="002F663C">
              <w:rPr>
                <w:rFonts w:eastAsia="Calibri" w:cs="Times New Roman"/>
              </w:rPr>
              <w:t>* Inclusion of the specifications for 'Steviol glycosides from fermentation' that were added to the EU list under 1333/2008 - adoption of (EU) 2025/652 - Proposed date of entry into force 25 August 2025;</w:t>
            </w:r>
          </w:p>
          <w:p w:rsidR="002F663C" w:rsidRPr="002F663C" w:rsidP="00A002E7" w14:paraId="2F3265D7" w14:textId="77777777">
            <w:pPr>
              <w:spacing w:before="120" w:after="60"/>
              <w:rPr>
                <w:rFonts w:eastAsia="Calibri" w:cs="Times New Roman"/>
              </w:rPr>
            </w:pPr>
            <w:r w:rsidRPr="002F663C">
              <w:rPr>
                <w:rFonts w:eastAsia="Calibri" w:cs="Times New Roman"/>
              </w:rPr>
              <w:t>* Update specifications for cellulose (E 460), methyl cellulose (E 461), ethyl cellulose (E 462), hydroxypropyl cellulose (E 463), hydroxypropyl methyl cellulose (E 464), ethyl methyl cellulose (E 465), sodium carboxy methyl cellulose, cellulose gum (E 466), cross-linked sodium carboxy methyl cellulose, cross linked cellulose gum (E 468) and enzymatically hydrolysed carboxy methyl cellulose (E 469) - Adoption of (EU) 2025/666 - Proposed date of entry into force 27 December 2025.</w:t>
            </w:r>
          </w:p>
        </w:tc>
      </w:tr>
      <w:tr w14:paraId="0762CB0F" w14:textId="77777777" w:rsidTr="00E9471B">
        <w:tblPrEx>
          <w:tblW w:w="9049" w:type="dxa"/>
          <w:tblLayout w:type="fixed"/>
          <w:tblLook w:val="04A0"/>
        </w:tblPrEx>
        <w:tc>
          <w:tcPr>
            <w:tcW w:w="851" w:type="dxa"/>
          </w:tcPr>
          <w:p w:rsidR="002F663C" w:rsidRPr="00711F9C" w:rsidP="00A002E7" w14:paraId="461C5369" w14:textId="77777777">
            <w:pPr>
              <w:spacing w:before="120" w:after="60"/>
              <w:rPr>
                <w:rFonts w:eastAsia="Calibri" w:cs="Times New Roman"/>
                <w:szCs w:val="18"/>
              </w:rPr>
            </w:pPr>
            <w:r w:rsidRPr="00711F9C">
              <w:rPr>
                <w:rFonts w:eastAsia="Calibri" w:cs="Times New Roman"/>
                <w:szCs w:val="18"/>
              </w:rPr>
              <w:t>[X]</w:t>
            </w:r>
          </w:p>
        </w:tc>
        <w:tc>
          <w:tcPr>
            <w:tcW w:w="8198" w:type="dxa"/>
          </w:tcPr>
          <w:p w:rsidR="002F663C" w:rsidRPr="002F663C" w:rsidP="00A002E7" w14:paraId="47B8B32B" w14:textId="77777777">
            <w:pPr>
              <w:spacing w:before="12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A002E7" w14:paraId="13BE522A"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https://members.wto.org/crnattachments/2025/TBT/ISR/final_measure/25_05333_00_x.pdf</w:t>
              </w:r>
            </w:hyperlink>
          </w:p>
        </w:tc>
      </w:tr>
      <w:tr w14:paraId="49B7E89F" w14:textId="77777777" w:rsidTr="00E9471B">
        <w:tblPrEx>
          <w:tblW w:w="9049" w:type="dxa"/>
          <w:tblLayout w:type="fixed"/>
          <w:tblLook w:val="04A0"/>
        </w:tblPrEx>
        <w:tc>
          <w:tcPr>
            <w:tcW w:w="851" w:type="dxa"/>
          </w:tcPr>
          <w:p w:rsidR="002F663C" w:rsidRPr="00711F9C" w:rsidP="00A002E7" w14:paraId="7414C1F5" w14:textId="77777777">
            <w:pPr>
              <w:spacing w:before="120" w:after="60"/>
              <w:rPr>
                <w:rFonts w:eastAsia="Calibri" w:cs="Times New Roman"/>
                <w:szCs w:val="18"/>
              </w:rPr>
            </w:pPr>
            <w:r w:rsidRPr="00711F9C">
              <w:rPr>
                <w:rFonts w:eastAsia="Calibri" w:cs="Times New Roman"/>
                <w:szCs w:val="18"/>
              </w:rPr>
              <w:t>[ ]</w:t>
            </w:r>
          </w:p>
        </w:tc>
        <w:tc>
          <w:tcPr>
            <w:tcW w:w="8198" w:type="dxa"/>
          </w:tcPr>
          <w:p w:rsidR="002F663C" w:rsidRPr="002F663C" w:rsidP="00A002E7" w14:paraId="5B61C718" w14:textId="77777777">
            <w:pPr>
              <w:spacing w:before="12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A002E7" w14:paraId="511FBD8F" w14:textId="77777777">
            <w:pPr>
              <w:spacing w:before="12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D257664" w14:textId="77777777" w:rsidTr="00E9471B">
        <w:tblPrEx>
          <w:tblW w:w="9049" w:type="dxa"/>
          <w:tblLayout w:type="fixed"/>
          <w:tblLook w:val="04A0"/>
        </w:tblPrEx>
        <w:tc>
          <w:tcPr>
            <w:tcW w:w="851" w:type="dxa"/>
          </w:tcPr>
          <w:p w:rsidR="002F663C" w:rsidRPr="00711F9C" w:rsidP="00A002E7" w14:paraId="2F63F527" w14:textId="77777777">
            <w:pPr>
              <w:spacing w:before="120" w:after="60"/>
              <w:rPr>
                <w:rFonts w:eastAsia="Calibri" w:cs="Times New Roman"/>
                <w:szCs w:val="18"/>
              </w:rPr>
            </w:pPr>
            <w:r w:rsidRPr="00711F9C">
              <w:rPr>
                <w:rFonts w:eastAsia="Calibri" w:cs="Times New Roman"/>
                <w:szCs w:val="18"/>
              </w:rPr>
              <w:t>[ ]</w:t>
            </w:r>
          </w:p>
        </w:tc>
        <w:tc>
          <w:tcPr>
            <w:tcW w:w="8198" w:type="dxa"/>
          </w:tcPr>
          <w:p w:rsidR="002F663C" w:rsidRPr="002F663C" w:rsidP="00A002E7" w14:paraId="28C0A765" w14:textId="77777777">
            <w:pPr>
              <w:spacing w:before="12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A002E7" w14:paraId="01E29973" w14:textId="77777777">
            <w:pPr>
              <w:spacing w:before="12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61B1BA7" w14:textId="77777777" w:rsidTr="00E9471B">
        <w:tblPrEx>
          <w:tblW w:w="9049" w:type="dxa"/>
          <w:tblLayout w:type="fixed"/>
          <w:tblLook w:val="04A0"/>
        </w:tblPrEx>
        <w:tc>
          <w:tcPr>
            <w:tcW w:w="851" w:type="dxa"/>
          </w:tcPr>
          <w:p w:rsidR="002F663C" w:rsidRPr="00711F9C" w:rsidP="00A002E7" w14:paraId="513BBB36" w14:textId="77777777">
            <w:pPr>
              <w:spacing w:before="12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A002E7" w14:paraId="7B89F223" w14:textId="77777777">
            <w:pPr>
              <w:spacing w:before="12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F29DFF4" w14:textId="77777777" w:rsidTr="00E9471B">
        <w:tblPrEx>
          <w:tblW w:w="9049" w:type="dxa"/>
          <w:tblLayout w:type="fixed"/>
          <w:tblLook w:val="04A0"/>
        </w:tblPrEx>
        <w:tc>
          <w:tcPr>
            <w:tcW w:w="851" w:type="dxa"/>
            <w:tcBorders>
              <w:bottom w:val="double" w:sz="4" w:space="0" w:color="auto"/>
            </w:tcBorders>
          </w:tcPr>
          <w:p w:rsidR="002F663C" w:rsidRPr="00711F9C" w:rsidP="00A002E7" w14:paraId="0900C816" w14:textId="77777777">
            <w:pPr>
              <w:spacing w:before="12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A002E7" w14:paraId="7E08B58D" w14:textId="77777777">
            <w:pPr>
              <w:spacing w:before="12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48165AF" w14:textId="77777777">
      <w:pPr>
        <w:jc w:val="left"/>
        <w:rPr>
          <w:rFonts w:eastAsia="Calibri" w:cs="Times New Roman"/>
          <w:highlight w:val="yellow"/>
        </w:rPr>
      </w:pPr>
    </w:p>
    <w:p w:rsidR="003971FF" w:rsidRPr="007F6EA2" w:rsidP="00B16ACF" w14:paraId="2326E6C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p>
    <w:p w:rsidR="006C5A96" w:rsidP="006C5A96" w14:paraId="26714CF9" w14:textId="77777777">
      <w:pPr>
        <w:jc w:val="center"/>
        <w:rPr>
          <w:b/>
        </w:rPr>
      </w:pPr>
      <w:r w:rsidRPr="003971FF">
        <w:rPr>
          <w:b/>
        </w:rPr>
        <w:t>__________</w:t>
      </w:r>
    </w:p>
    <w:p w:rsidR="004D4D19" w:rsidP="007F38C2" w14:paraId="63A2A1A7" w14:textId="77777777">
      <w:pPr>
        <w:jc w:val="center"/>
        <w:rPr>
          <w:b/>
        </w:rPr>
      </w:pPr>
    </w:p>
    <w:p w:rsidR="00A1565D" w:rsidP="003971FF" w14:paraId="71208285"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1C4115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F11FE92"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5C45634E" w14:textId="77777777">
      <w:r>
        <w:separator/>
      </w:r>
    </w:p>
  </w:footnote>
  <w:footnote w:type="continuationSeparator" w:id="1">
    <w:p w:rsidR="004D3A6A" w:rsidP="00ED54E0" w14:paraId="22AF1A24" w14:textId="77777777">
      <w:r>
        <w:continuationSeparator/>
      </w:r>
    </w:p>
  </w:footnote>
  <w:footnote w:id="2">
    <w:p w:rsidR="007F6EA2" w14:paraId="26FD3E6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E3347F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05BE814" w14:textId="77777777">
    <w:pPr>
      <w:pStyle w:val="Header"/>
      <w:pBdr>
        <w:bottom w:val="single" w:sz="4" w:space="1" w:color="auto"/>
      </w:pBdr>
      <w:tabs>
        <w:tab w:val="clear" w:pos="4513"/>
        <w:tab w:val="clear" w:pos="9027"/>
      </w:tabs>
      <w:jc w:val="center"/>
    </w:pPr>
  </w:p>
  <w:p w:rsidR="00DD3DD7" w:rsidRPr="00DD3DD7" w:rsidP="00DD3DD7" w14:paraId="70E326F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55A106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AFB68F2" w14:textId="77777777">
    <w:pPr>
      <w:pStyle w:val="Header"/>
      <w:pBdr>
        <w:bottom w:val="single" w:sz="4" w:space="1" w:color="auto"/>
      </w:pBdr>
      <w:tabs>
        <w:tab w:val="clear" w:pos="4513"/>
        <w:tab w:val="clear" w:pos="9027"/>
      </w:tabs>
      <w:jc w:val="center"/>
    </w:pPr>
    <w:bookmarkStart w:id="3" w:name="spsSymbolHeader"/>
    <w:r w:rsidRPr="00DD3DD7">
      <w:t>G/TBT/N/ISR/1402/Add.1</w:t>
    </w:r>
    <w:bookmarkEnd w:id="3"/>
  </w:p>
  <w:p w:rsidR="00DD3DD7" w:rsidRPr="00DD3DD7" w:rsidP="00DD3DD7" w14:paraId="69F5D1AC" w14:textId="77777777">
    <w:pPr>
      <w:pStyle w:val="Header"/>
      <w:pBdr>
        <w:bottom w:val="single" w:sz="4" w:space="1" w:color="auto"/>
      </w:pBdr>
      <w:tabs>
        <w:tab w:val="clear" w:pos="4513"/>
        <w:tab w:val="clear" w:pos="9027"/>
      </w:tabs>
      <w:jc w:val="center"/>
    </w:pPr>
  </w:p>
  <w:p w:rsidR="00DD3DD7" w:rsidRPr="00DD3DD7" w:rsidP="00DD3DD7" w14:paraId="1679917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0CD93B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BD1CF4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CAFD93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12BE3E0" w14:textId="77777777">
          <w:pPr>
            <w:jc w:val="right"/>
            <w:rPr>
              <w:b/>
              <w:color w:val="FF0000"/>
              <w:szCs w:val="16"/>
            </w:rPr>
          </w:pPr>
          <w:r>
            <w:rPr>
              <w:b/>
              <w:color w:val="FF0000"/>
              <w:szCs w:val="16"/>
            </w:rPr>
            <w:t xml:space="preserve"> </w:t>
          </w:r>
        </w:p>
      </w:tc>
    </w:tr>
    <w:tr w14:paraId="5EEB5B5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08EA6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0141EB8" w14:textId="77777777">
          <w:pPr>
            <w:jc w:val="right"/>
            <w:rPr>
              <w:b/>
              <w:szCs w:val="16"/>
            </w:rPr>
          </w:pPr>
        </w:p>
      </w:tc>
    </w:tr>
    <w:tr w14:paraId="62F8CF5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61D4640"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2C1CA698" w14:textId="77777777">
          <w:pPr>
            <w:jc w:val="right"/>
            <w:rPr>
              <w:rFonts w:eastAsia="Calibri" w:cs="Times New Roman"/>
              <w:b/>
              <w:szCs w:val="16"/>
            </w:rPr>
          </w:pPr>
          <w:bookmarkStart w:id="4" w:name="bmkSymbols"/>
          <w:r w:rsidRPr="002F663C">
            <w:rPr>
              <w:rFonts w:eastAsia="Calibri" w:cs="Times New Roman"/>
              <w:b/>
              <w:szCs w:val="16"/>
            </w:rPr>
            <w:t>G/TBT/N/ISR/1402/Add.1</w:t>
          </w:r>
          <w:bookmarkEnd w:id="4"/>
        </w:p>
        <w:p w:rsidR="00C14444" w:rsidRPr="00C14444" w:rsidP="00C14444" w14:paraId="622FE88A" w14:textId="77777777">
          <w:pPr>
            <w:jc w:val="center"/>
            <w:rPr>
              <w:szCs w:val="16"/>
            </w:rPr>
          </w:pPr>
        </w:p>
      </w:tc>
    </w:tr>
    <w:tr w14:paraId="235C51EB"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E385629" w14:textId="77777777"/>
      </w:tc>
      <w:tc>
        <w:tcPr>
          <w:tcW w:w="5448" w:type="dxa"/>
          <w:gridSpan w:val="2"/>
          <w:shd w:val="clear" w:color="auto" w:fill="FFFFFF"/>
          <w:tcMar>
            <w:left w:w="108" w:type="dxa"/>
            <w:right w:w="108" w:type="dxa"/>
          </w:tcMar>
          <w:vAlign w:val="center"/>
        </w:tcPr>
        <w:p w:rsidR="00ED54E0" w:rsidRPr="00182B84" w:rsidP="00425DC5" w14:paraId="524E5D40" w14:textId="77777777">
          <w:pPr>
            <w:jc w:val="right"/>
            <w:rPr>
              <w:szCs w:val="16"/>
            </w:rPr>
          </w:pPr>
          <w:bookmarkStart w:id="5" w:name="bmkDate"/>
          <w:r w:rsidRPr="00182B84">
            <w:rPr>
              <w:szCs w:val="16"/>
            </w:rPr>
            <w:t>19 August 2025</w:t>
          </w:r>
          <w:bookmarkEnd w:id="5"/>
        </w:p>
      </w:tc>
    </w:tr>
    <w:tr w14:paraId="221CF68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7BF6CE7" w14:textId="77777777">
          <w:pPr>
            <w:jc w:val="left"/>
            <w:rPr>
              <w:b/>
            </w:rPr>
          </w:pPr>
          <w:bookmarkStart w:id="6" w:name="bmkSerial"/>
          <w:r>
            <w:rPr>
              <w:b w:val="0"/>
              <w:color w:val="FF0000"/>
            </w:rPr>
            <w:t>(25-5163)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5C1AD29"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14DE96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C2A83F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157C4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4FF78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57486617">
    <w:abstractNumId w:val="9"/>
  </w:num>
  <w:num w:numId="2" w16cid:durableId="492797550">
    <w:abstractNumId w:val="7"/>
  </w:num>
  <w:num w:numId="3" w16cid:durableId="1152017945">
    <w:abstractNumId w:val="6"/>
  </w:num>
  <w:num w:numId="4" w16cid:durableId="1883859255">
    <w:abstractNumId w:val="5"/>
  </w:num>
  <w:num w:numId="5" w16cid:durableId="2090541307">
    <w:abstractNumId w:val="4"/>
  </w:num>
  <w:num w:numId="6" w16cid:durableId="1985310210">
    <w:abstractNumId w:val="12"/>
  </w:num>
  <w:num w:numId="7" w16cid:durableId="653945936">
    <w:abstractNumId w:val="11"/>
  </w:num>
  <w:num w:numId="8" w16cid:durableId="927348936">
    <w:abstractNumId w:val="10"/>
  </w:num>
  <w:num w:numId="9" w16cid:durableId="9386803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61959695">
    <w:abstractNumId w:val="13"/>
  </w:num>
  <w:num w:numId="11" w16cid:durableId="1266693747">
    <w:abstractNumId w:val="8"/>
  </w:num>
  <w:num w:numId="12" w16cid:durableId="1574243901">
    <w:abstractNumId w:val="3"/>
  </w:num>
  <w:num w:numId="13" w16cid:durableId="216206677">
    <w:abstractNumId w:val="2"/>
  </w:num>
  <w:num w:numId="14" w16cid:durableId="488327782">
    <w:abstractNumId w:val="1"/>
  </w:num>
  <w:num w:numId="15" w16cid:durableId="2145270731">
    <w:abstractNumId w:val="0"/>
  </w:num>
  <w:num w:numId="16" w16cid:durableId="212187373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07A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22925"/>
    <w:rsid w:val="00832639"/>
    <w:rsid w:val="00840C2B"/>
    <w:rsid w:val="008739FD"/>
    <w:rsid w:val="00893E85"/>
    <w:rsid w:val="008A0701"/>
    <w:rsid w:val="008B1018"/>
    <w:rsid w:val="008C42D2"/>
    <w:rsid w:val="008E2C13"/>
    <w:rsid w:val="008E372C"/>
    <w:rsid w:val="00917235"/>
    <w:rsid w:val="00992AEA"/>
    <w:rsid w:val="009A4D36"/>
    <w:rsid w:val="009A6F54"/>
    <w:rsid w:val="009C3E31"/>
    <w:rsid w:val="009E7EA5"/>
    <w:rsid w:val="009F7637"/>
    <w:rsid w:val="00A001F6"/>
    <w:rsid w:val="00A002E7"/>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4669"/>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87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ISR/final_measure/25_05333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1A3F36A-68D2-4BC3-8FAF-DC618B7D5CB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2025-08-19T08:58:00Z</dcterms:created>
  <dcterms:modified xsi:type="dcterms:W3CDTF">2025-08-19T11:24:00Z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