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D2A680A" w14:textId="77777777">
      <w:pPr>
        <w:pStyle w:val="Title"/>
      </w:pPr>
      <w:r w:rsidRPr="002F663C">
        <w:t>NOTIFICATION</w:t>
      </w:r>
    </w:p>
    <w:p w:rsidR="002F663C" w:rsidRPr="002F663C" w:rsidP="00DD3DD7" w14:paraId="5EE65000" w14:textId="77777777">
      <w:pPr>
        <w:pStyle w:val="Title3"/>
      </w:pPr>
      <w:r w:rsidRPr="002F663C">
        <w:t>Addendum</w:t>
      </w:r>
    </w:p>
    <w:p w:rsidR="002F663C" w:rsidP="001E2E4A" w14:paraId="44980051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18 August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Israel</w:t>
      </w:r>
      <w:r w:rsidRPr="002F663C">
        <w:rPr>
          <w:rFonts w:eastAsia="Calibri" w:cs="Times New Roman"/>
        </w:rPr>
        <w:t>.</w:t>
      </w:r>
    </w:p>
    <w:p w:rsidR="001E2E4A" w:rsidRPr="002F663C" w:rsidP="001E2E4A" w14:paraId="165107FB" w14:textId="77777777">
      <w:pPr>
        <w:rPr>
          <w:rFonts w:eastAsia="Calibri" w:cs="Times New Roman"/>
        </w:rPr>
      </w:pPr>
    </w:p>
    <w:p w:rsidR="002F663C" w:rsidRPr="002F663C" w:rsidP="002F663C" w14:paraId="3DABF8E2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0977C1A2" w14:textId="77777777">
      <w:pPr>
        <w:rPr>
          <w:rFonts w:eastAsia="Calibri" w:cs="Times New Roman"/>
        </w:rPr>
      </w:pPr>
    </w:p>
    <w:p w:rsidR="00C14444" w:rsidRPr="002F663C" w:rsidP="002F663C" w14:paraId="524C1AEC" w14:textId="77777777">
      <w:pPr>
        <w:rPr>
          <w:rFonts w:eastAsia="Calibri" w:cs="Times New Roman"/>
        </w:rPr>
      </w:pPr>
    </w:p>
    <w:p w:rsidR="002F663C" w:rsidRPr="002F663C" w:rsidP="002F663C" w14:paraId="4CB1BCFB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Public Health Protection Notice (Food) (Application of Changes to the Annex to European Union Directives) (Regulation EC 396/2005 - Maximum Residue Levels of Pesticides), 5785 - 2025.</w:t>
      </w:r>
    </w:p>
    <w:p w:rsidR="002F663C" w:rsidRPr="002F663C" w:rsidP="002F663C" w14:paraId="59ABBC94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07E87FD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2C6E59FA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46516F9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133C94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ABD96D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77E489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D33668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7F1EF8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329AADD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2B36DC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887F3A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17 August 2025</w:t>
            </w:r>
          </w:p>
        </w:tc>
      </w:tr>
      <w:tr w14:paraId="4A27823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30B49E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31FCD8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The changes included in this Amendment combine the following EU Regulations amending various Annexes of Regulation (EC) No 396/2005:</w:t>
            </w:r>
          </w:p>
          <w:p w:rsidR="002F663C" w:rsidRPr="002F663C" w:rsidP="00C14444" w14:paraId="461BC7EC" w14:textId="77777777">
            <w:pPr>
              <w:spacing w:before="60" w:after="6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</w:rPr>
              <w:t>* Section 22 - Maximum residue levels for zoxamide in or on certain products - adoption of (EU) 2025/146 - Entry in force 24.08.2025;</w:t>
            </w:r>
          </w:p>
          <w:p w:rsidR="002F663C" w:rsidRPr="002F663C" w:rsidP="00C14444" w14:paraId="32D17E74" w14:textId="77777777">
            <w:pPr>
              <w:spacing w:before="60" w:after="6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</w:rPr>
              <w:t>* Section 23 - Maximum residue levels for acetamiprid in or on certain products - adoption of (EU) 2025/158 - Entry in force 24.08.2025;</w:t>
            </w:r>
          </w:p>
          <w:p w:rsidR="002F663C" w:rsidRPr="002F663C" w:rsidP="00C14444" w14:paraId="29ECFA30" w14:textId="77777777">
            <w:pPr>
              <w:spacing w:before="60" w:after="6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</w:rPr>
              <w:t>* Section 24 -Maximum residue levels for fenbuconazole and penconazole in or on certain products - adoption of (EU) 2025/195 - Entry in force 24.08.2025;</w:t>
            </w:r>
          </w:p>
          <w:p w:rsidR="002F663C" w:rsidRPr="002F663C" w:rsidP="00C14444" w14:paraId="0346D94F" w14:textId="77777777">
            <w:pPr>
              <w:spacing w:before="60" w:after="6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</w:rPr>
              <w:t>* Section 25 - Maximum residue levels for cycloxydim, dichlorprop-P, flupyradifurone, methyl nonyl ketone, plant oils/citronella oil, potassium sorbate, and potassium phosphonate in or on certain products - adoption of (EU) 2025/581 - Entry in force 24.08.2025;</w:t>
            </w:r>
          </w:p>
          <w:p w:rsidR="002F663C" w:rsidRPr="002F663C" w:rsidP="00C14444" w14:paraId="500B6552" w14:textId="77777777">
            <w:pPr>
              <w:spacing w:before="60" w:after="6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</w:rPr>
              <w:t>* Section 26 - Maximum residue levels for cyantraniliprole, cyflumetofen, deltamethrin, mefentrifluconazole, mepiquat, and oxathiapiprolin in or on specific products - adoption of (EU) 2025/1164 - Entry in force 24.08.2025;</w:t>
            </w:r>
          </w:p>
          <w:p w:rsidR="002F663C" w:rsidRPr="002F663C" w:rsidP="00C14444" w14:paraId="603AC86A" w14:textId="77777777">
            <w:pPr>
              <w:spacing w:before="60" w:after="6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</w:rPr>
              <w:t>* Section 27 - Maximum residue levels for chlorpropham, fuberidazole, ipconazole, methoxyfenozide, S-metolachlor and triflusulfuron in or on certain products - adoption of (EU) 2025/1163 - Entry in force 06.01.2026.</w:t>
            </w:r>
          </w:p>
        </w:tc>
      </w:tr>
      <w:tr w14:paraId="682CB69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8BC686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1EFE1621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14A3BA3F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https://members.wto.org/crnattachments/2025/TBT/ISR/final_measure/25_05330_00_x.pdf</w:t>
              </w:r>
            </w:hyperlink>
          </w:p>
        </w:tc>
      </w:tr>
      <w:tr w14:paraId="703721B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6657F1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EC8A29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211640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CE49AE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E15DDD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7EBBEC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2A03551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E91D66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916EB8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0F55831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478F44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1BDBF6B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6095235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3F3F37EE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775188E3" w14:textId="51A34670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>
        <w:rPr>
          <w:rFonts w:eastAsia="Calibri" w:cs="Times New Roman"/>
          <w:szCs w:val="18"/>
        </w:rPr>
        <w:t>-</w:t>
      </w:r>
    </w:p>
    <w:p w:rsidR="006C5A96" w:rsidP="006C5A96" w14:paraId="0DFD6E18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E754B7C" w14:textId="77777777">
      <w:pPr>
        <w:jc w:val="center"/>
        <w:rPr>
          <w:b/>
        </w:rPr>
      </w:pPr>
    </w:p>
    <w:p w:rsidR="00A1565D" w:rsidP="003971FF" w14:paraId="04DDB9CE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4113EF0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E833B23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7A5B6FB7" w14:textId="77777777">
      <w:r>
        <w:separator/>
      </w:r>
    </w:p>
  </w:footnote>
  <w:footnote w:type="continuationSeparator" w:id="1">
    <w:p w:rsidR="004D3A6A" w:rsidP="00ED54E0" w14:paraId="5E0B5DC4" w14:textId="77777777">
      <w:r>
        <w:continuationSeparator/>
      </w:r>
    </w:p>
  </w:footnote>
  <w:footnote w:id="2">
    <w:p w:rsidR="007F6EA2" w14:paraId="25F8083F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2AB6E4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25B263E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7AF3AA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86B140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38DA38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G/TBT/N/ISR/1399/Add.1</w:t>
    </w:r>
    <w:bookmarkEnd w:id="3"/>
  </w:p>
  <w:p w:rsidR="00DD3DD7" w:rsidRPr="00DD3DD7" w:rsidP="00DD3DD7" w14:paraId="26B517A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C5852A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366CDD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A9D1D9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F4FC811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2BAFD88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DF826BB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78848211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E7EB526" w14:textId="77777777">
          <w:pPr>
            <w:jc w:val="right"/>
            <w:rPr>
              <w:b/>
              <w:szCs w:val="16"/>
            </w:rPr>
          </w:pPr>
        </w:p>
      </w:tc>
    </w:tr>
    <w:tr w14:paraId="541793B1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3F2A90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2F4C3EC0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G/TBT/N/ISR/1399/Add.1</w:t>
          </w:r>
          <w:bookmarkEnd w:id="4"/>
        </w:p>
        <w:p w:rsidR="00C14444" w:rsidRPr="00C14444" w:rsidP="00C14444" w14:paraId="1B101C3A" w14:textId="77777777">
          <w:pPr>
            <w:jc w:val="center"/>
            <w:rPr>
              <w:szCs w:val="16"/>
            </w:rPr>
          </w:pPr>
        </w:p>
      </w:tc>
    </w:tr>
    <w:tr w14:paraId="217996D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789D71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E0DC633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19 August 2025</w:t>
          </w:r>
          <w:bookmarkEnd w:id="5"/>
        </w:p>
      </w:tc>
    </w:tr>
    <w:tr w14:paraId="3E424030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09CFAA4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(25-5161)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148506D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9531AD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EA53C12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3FE2EB7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043892F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52339550">
    <w:abstractNumId w:val="9"/>
  </w:num>
  <w:num w:numId="2" w16cid:durableId="1394160448">
    <w:abstractNumId w:val="7"/>
  </w:num>
  <w:num w:numId="3" w16cid:durableId="2120567677">
    <w:abstractNumId w:val="6"/>
  </w:num>
  <w:num w:numId="4" w16cid:durableId="1422294066">
    <w:abstractNumId w:val="5"/>
  </w:num>
  <w:num w:numId="5" w16cid:durableId="92825620">
    <w:abstractNumId w:val="4"/>
  </w:num>
  <w:num w:numId="6" w16cid:durableId="2117287744">
    <w:abstractNumId w:val="12"/>
  </w:num>
  <w:num w:numId="7" w16cid:durableId="1977560185">
    <w:abstractNumId w:val="11"/>
  </w:num>
  <w:num w:numId="8" w16cid:durableId="98643379">
    <w:abstractNumId w:val="10"/>
  </w:num>
  <w:num w:numId="9" w16cid:durableId="26137945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84925890">
    <w:abstractNumId w:val="13"/>
  </w:num>
  <w:num w:numId="11" w16cid:durableId="2035033062">
    <w:abstractNumId w:val="8"/>
  </w:num>
  <w:num w:numId="12" w16cid:durableId="1259370387">
    <w:abstractNumId w:val="3"/>
  </w:num>
  <w:num w:numId="13" w16cid:durableId="601499899">
    <w:abstractNumId w:val="2"/>
  </w:num>
  <w:num w:numId="14" w16cid:durableId="355544664">
    <w:abstractNumId w:val="1"/>
  </w:num>
  <w:num w:numId="15" w16cid:durableId="1440562762">
    <w:abstractNumId w:val="0"/>
  </w:num>
  <w:num w:numId="16" w16cid:durableId="162791438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3B1D3D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26E7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25B9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44669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A2EE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ISR/final_measure/25_05330_00_x.pdf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2025-08-19T08:54:00Z</dcterms:created>
  <dcterms:modified xsi:type="dcterms:W3CDTF">2025-08-19T08:55:00Z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