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39CD0C3" w14:textId="77777777">
      <w:pPr>
        <w:pStyle w:val="Title"/>
      </w:pPr>
      <w:r w:rsidRPr="002F663C">
        <w:t>NOTIFICATION</w:t>
      </w:r>
    </w:p>
    <w:p w:rsidR="002F663C" w:rsidRPr="002F663C" w:rsidP="00DD3DD7" w14:paraId="1201B411" w14:textId="77777777">
      <w:pPr>
        <w:pStyle w:val="Title3"/>
      </w:pPr>
      <w:r w:rsidRPr="002F663C">
        <w:t>Addendum</w:t>
      </w:r>
    </w:p>
    <w:p w:rsidR="002F663C" w:rsidP="001E2E4A" w14:paraId="6665A0E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14 August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63D9B41F" w14:textId="77777777">
      <w:pPr>
        <w:rPr>
          <w:rFonts w:eastAsia="Calibri" w:cs="Times New Roman"/>
        </w:rPr>
      </w:pPr>
    </w:p>
    <w:p w:rsidR="002F663C" w:rsidRPr="002F663C" w:rsidP="002F663C" w14:paraId="31E0080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AA14E5B" w14:textId="77777777">
      <w:pPr>
        <w:rPr>
          <w:rFonts w:eastAsia="Calibri" w:cs="Times New Roman"/>
        </w:rPr>
      </w:pPr>
    </w:p>
    <w:p w:rsidR="00C14444" w:rsidRPr="002F663C" w:rsidP="002F663C" w14:paraId="1947FA63" w14:textId="77777777">
      <w:pPr>
        <w:rPr>
          <w:rFonts w:eastAsia="Calibri" w:cs="Times New Roman"/>
        </w:rPr>
      </w:pPr>
    </w:p>
    <w:p w:rsidR="002F663C" w:rsidRPr="002F663C" w:rsidP="002F663C" w14:paraId="795D6F38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Pipeline Safety: Clarifying Recordkeeping Requirements for Testing in MAOP Reconfirmation Regulation</w:t>
      </w:r>
    </w:p>
    <w:p w:rsidR="002F663C" w:rsidRPr="002F663C" w:rsidP="002F663C" w14:paraId="1080AD9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54BC21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38FF8E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8999DC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6615A2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4FCC385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8 September 2025</w:t>
            </w:r>
          </w:p>
        </w:tc>
      </w:tr>
      <w:tr w14:paraId="1B644A3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847662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628196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5ADE318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17FA46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8D2D26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A3F237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91FC54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2E0844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704941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3410C6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0185F31D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0ACC4048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https://members.wto.org/crnattachments/2025/TBT/USA/final_measure/25_05292_00_e.pdf</w:t>
              </w:r>
            </w:hyperlink>
          </w:p>
          <w:p w:rsidR="002F663C" w:rsidRPr="002F663C" w:rsidP="00EB7B40" w14:paraId="58CACC18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https://members.wto.org/crnattachments/2025/TBT/USA/final_measure/25_05292_01_e.pdf</w:t>
              </w:r>
            </w:hyperlink>
          </w:p>
        </w:tc>
      </w:tr>
      <w:tr w14:paraId="27290C1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5B11C2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691E53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612B7F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889F3E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CC1F4D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7DAF38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5BDAC5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BEBCA8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F5DC9E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C1710C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C96EC5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FC4AEB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770C73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4F6506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878389F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Pipeline and Hazardous Materials Safety Administration (PHMSA) published a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final rule</w:t>
        </w:r>
      </w:hyperlink>
      <w:r w:rsidRPr="002F663C">
        <w:rPr>
          <w:rFonts w:eastAsia="Calibri" w:cs="Times New Roman"/>
          <w:szCs w:val="18"/>
        </w:rPr>
        <w:t xml:space="preserve"> containing a technical correction clarifying the applicability of the requirements for reconfirming the maximum allowable operating pressure of certain gas transmission lines. PHMSA received a petition for reconsideration of the final rule and is providing the public with the opportunity to submit comments on the technical correction and petition for reconsideration.</w:t>
      </w:r>
    </w:p>
    <w:p w:rsidR="00EA6AF1" w:rsidRPr="002F663C" w:rsidP="00B16ACF" w14:paraId="5720E92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Comments are due on 8 September 2025.</w:t>
      </w:r>
    </w:p>
    <w:p w:rsidR="00EA6AF1" w:rsidRPr="002F663C" w:rsidP="00B16ACF" w14:paraId="249C67C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38429, 8 August 2025;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49 Code of Federal Regulations (CFR) Part 192</w:t>
        </w:r>
      </w:hyperlink>
      <w:r w:rsidRPr="002F663C">
        <w:rPr>
          <w:rFonts w:eastAsia="Calibri" w:cs="Times New Roman"/>
          <w:szCs w:val="18"/>
        </w:rPr>
        <w:t>:</w:t>
      </w:r>
    </w:p>
    <w:p w:rsidR="00EA6AF1" w:rsidRPr="002F663C" w:rsidP="00B16ACF" w14:paraId="1F457657" w14:textId="77777777">
      <w:pPr>
        <w:spacing w:before="120" w:after="120"/>
        <w:rPr>
          <w:rFonts w:eastAsia="Calibri" w:cs="Times New Roman"/>
          <w:szCs w:val="18"/>
        </w:rPr>
      </w:pP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https://www.govinfo.gov/content/pkg/FR-2025-08-08/html/2025-15141.htm</w:t>
        </w:r>
      </w:hyperlink>
    </w:p>
    <w:p w:rsidR="00EA6AF1" w:rsidRPr="002F663C" w:rsidP="00B16ACF" w14:paraId="46D99A8E" w14:textId="77777777">
      <w:pPr>
        <w:spacing w:before="120" w:after="120"/>
        <w:rPr>
          <w:rFonts w:eastAsia="Calibri" w:cs="Times New Roman"/>
          <w:szCs w:val="18"/>
        </w:rPr>
      </w:pP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https://www.govinfo.gov/content/pkg/FR-2025-08-08/pdf/2025-15141.pdf</w:t>
        </w:r>
      </w:hyperlink>
    </w:p>
    <w:p w:rsidR="00EA6AF1" w:rsidRPr="002F663C" w:rsidP="00B16ACF" w14:paraId="250B273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Pipeline Safety: Clarifying Recordkeeping Requirements for Testing in MAOP Reconfirmation Regulation, Final rule; technical correction; published 1 July 2025:</w:t>
      </w:r>
    </w:p>
    <w:p w:rsidR="00EA6AF1" w:rsidRPr="002F663C" w:rsidP="00B16ACF" w14:paraId="37EBEC21" w14:textId="77777777">
      <w:pPr>
        <w:spacing w:before="120" w:after="120"/>
        <w:rPr>
          <w:rFonts w:eastAsia="Calibri" w:cs="Times New Roman"/>
          <w:szCs w:val="18"/>
        </w:rPr>
      </w:pP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https://www.govinfo.gov/content/pkg/FR-2025-07-01/html/2025-12115.htm</w:t>
        </w:r>
      </w:hyperlink>
    </w:p>
    <w:p w:rsidR="00EA6AF1" w:rsidRPr="002F663C" w:rsidP="00B16ACF" w14:paraId="70CE7997" w14:textId="77777777">
      <w:pPr>
        <w:spacing w:before="120" w:after="120"/>
        <w:rPr>
          <w:rFonts w:eastAsia="Calibri" w:cs="Times New Roman"/>
          <w:szCs w:val="18"/>
        </w:rPr>
      </w:pP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https://www.govinfo.gov/content/pkg/FR-2025-07-01/pdf/2025-12115.pdf</w:t>
        </w:r>
      </w:hyperlink>
    </w:p>
    <w:p w:rsidR="00EA6AF1" w:rsidRPr="002F663C" w:rsidP="00B16ACF" w14:paraId="3C1B7A4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notice of comment period and the final rule; technical corrections are identified by Docket Number PHMSA-2025-0117. The Docket Folder is available from Regulations.gov at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https://www.regulations.gov/docket/PHMSA-2025-0117/document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 WTO Members and their stakeholders are asked to submit comments to the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 by or before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8 September 2025. Comments received by the USA TBT Enquiry Point from WTO Members and their stakeholders will be shared with PHMSA and will also be submitted to the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 xml:space="preserve">Docket </w:t>
        </w:r>
      </w:hyperlink>
      <w:r w:rsidRPr="002F663C">
        <w:rPr>
          <w:rFonts w:eastAsia="Calibri" w:cs="Times New Roman"/>
          <w:szCs w:val="18"/>
        </w:rPr>
        <w:t>on Regulations.gov if received within the comment period.</w:t>
      </w:r>
    </w:p>
    <w:p w:rsidR="00EA6AF1" w:rsidRPr="002F663C" w:rsidP="00B16ACF" w14:paraId="052E1F1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Previous actions are identified by Docket Numbers </w:t>
      </w:r>
      <w:hyperlink r:id="rId18" w:history="1">
        <w:r w:rsidRPr="002F663C">
          <w:rPr>
            <w:rFonts w:eastAsia="Calibri" w:cs="Times New Roman"/>
            <w:color w:val="0000FF"/>
            <w:szCs w:val="18"/>
            <w:u w:val="single"/>
          </w:rPr>
          <w:t>PHMSA-2011-0023</w:t>
        </w:r>
      </w:hyperlink>
      <w:r w:rsidRPr="002F663C">
        <w:rPr>
          <w:rFonts w:eastAsia="Calibri" w:cs="Times New Roman"/>
          <w:szCs w:val="18"/>
        </w:rPr>
        <w:t xml:space="preserve"> and </w:t>
      </w:r>
      <w:hyperlink r:id="rId19" w:history="1">
        <w:r w:rsidRPr="002F663C">
          <w:rPr>
            <w:rFonts w:eastAsia="Calibri" w:cs="Times New Roman"/>
            <w:color w:val="0000FF"/>
            <w:szCs w:val="18"/>
            <w:u w:val="single"/>
          </w:rPr>
          <w:t>PHMSA-2019-0225</w:t>
        </w:r>
      </w:hyperlink>
      <w:r w:rsidRPr="002F663C">
        <w:rPr>
          <w:rFonts w:eastAsia="Calibri" w:cs="Times New Roman"/>
          <w:szCs w:val="18"/>
        </w:rPr>
        <w:t xml:space="preserve"> providing access to primary and supporting documents as well as comments received. Documents are also accessible from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Number(s).</w:t>
      </w:r>
    </w:p>
    <w:p w:rsidR="006C5A96" w:rsidP="006C5A96" w14:paraId="556BFC3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AB7A6AB" w14:textId="77777777">
      <w:pPr>
        <w:jc w:val="center"/>
        <w:rPr>
          <w:b/>
        </w:rPr>
      </w:pPr>
    </w:p>
    <w:p w:rsidR="00A1565D" w:rsidP="003971FF" w14:paraId="6281BC0B" w14:textId="77777777">
      <w:pPr>
        <w:jc w:val="center"/>
        <w:rPr>
          <w:b/>
        </w:rPr>
      </w:pPr>
    </w:p>
    <w:sectPr w:rsidSect="006C5A9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F86333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452C00B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F296667" w14:textId="77777777">
      <w:r>
        <w:separator/>
      </w:r>
    </w:p>
  </w:footnote>
  <w:footnote w:type="continuationSeparator" w:id="1">
    <w:p w:rsidR="004D3A6A" w:rsidP="00ED54E0" w14:paraId="2F96C4F1" w14:textId="77777777">
      <w:r>
        <w:continuationSeparator/>
      </w:r>
    </w:p>
  </w:footnote>
  <w:footnote w:id="2">
    <w:p w:rsidR="007F6EA2" w14:paraId="11B7B603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3538B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6727C7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C1EC1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2EA0AA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C80B2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G/TBT/N/USA/1117/Add.11</w:t>
    </w:r>
    <w:bookmarkEnd w:id="3"/>
  </w:p>
  <w:p w:rsidR="00DD3DD7" w:rsidRPr="00DD3DD7" w:rsidP="00DD3DD7" w14:paraId="504703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F6514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3BD7CD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174575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2D2E89E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032A1C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0635DF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747502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5DA3D03" w14:textId="77777777">
          <w:pPr>
            <w:jc w:val="right"/>
            <w:rPr>
              <w:b/>
              <w:szCs w:val="16"/>
            </w:rPr>
          </w:pPr>
        </w:p>
      </w:tc>
    </w:tr>
    <w:tr w14:paraId="7E39F5B4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F18268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C8A7DE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G/TBT/N/USA/1117/Add.11</w:t>
          </w:r>
          <w:bookmarkEnd w:id="4"/>
        </w:p>
        <w:p w:rsidR="00C14444" w:rsidRPr="00C14444" w:rsidP="00C14444" w14:paraId="780BF81A" w14:textId="77777777">
          <w:pPr>
            <w:jc w:val="center"/>
            <w:rPr>
              <w:szCs w:val="16"/>
            </w:rPr>
          </w:pPr>
        </w:p>
      </w:tc>
    </w:tr>
    <w:tr w14:paraId="03FAF41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093E8C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55549BF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August 2025</w:t>
          </w:r>
          <w:bookmarkEnd w:id="5"/>
        </w:p>
      </w:tc>
    </w:tr>
    <w:tr w14:paraId="0541375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D73BA33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(25-5106)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BBB232C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05C10F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1F59F50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6ED803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7030DB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3092849">
    <w:abstractNumId w:val="9"/>
  </w:num>
  <w:num w:numId="2" w16cid:durableId="780876183">
    <w:abstractNumId w:val="7"/>
  </w:num>
  <w:num w:numId="3" w16cid:durableId="1896505689">
    <w:abstractNumId w:val="6"/>
  </w:num>
  <w:num w:numId="4" w16cid:durableId="1380474567">
    <w:abstractNumId w:val="5"/>
  </w:num>
  <w:num w:numId="5" w16cid:durableId="443383571">
    <w:abstractNumId w:val="4"/>
  </w:num>
  <w:num w:numId="6" w16cid:durableId="1218321656">
    <w:abstractNumId w:val="12"/>
  </w:num>
  <w:num w:numId="7" w16cid:durableId="2092576215">
    <w:abstractNumId w:val="11"/>
  </w:num>
  <w:num w:numId="8" w16cid:durableId="9336731">
    <w:abstractNumId w:val="10"/>
  </w:num>
  <w:num w:numId="9" w16cid:durableId="15269455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6259668">
    <w:abstractNumId w:val="13"/>
  </w:num>
  <w:num w:numId="11" w16cid:durableId="1012686865">
    <w:abstractNumId w:val="8"/>
  </w:num>
  <w:num w:numId="12" w16cid:durableId="1463427028">
    <w:abstractNumId w:val="3"/>
  </w:num>
  <w:num w:numId="13" w16cid:durableId="2023507164">
    <w:abstractNumId w:val="2"/>
  </w:num>
  <w:num w:numId="14" w16cid:durableId="1942445360">
    <w:abstractNumId w:val="1"/>
  </w:num>
  <w:num w:numId="15" w16cid:durableId="2017002812">
    <w:abstractNumId w:val="0"/>
  </w:num>
  <w:num w:numId="16" w16cid:durableId="178638444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84DC9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07629"/>
    <w:rsid w:val="00E1426C"/>
    <w:rsid w:val="00E46FD5"/>
    <w:rsid w:val="00E544BB"/>
    <w:rsid w:val="00E56545"/>
    <w:rsid w:val="00E626B0"/>
    <w:rsid w:val="00E64199"/>
    <w:rsid w:val="00E9471B"/>
    <w:rsid w:val="00EA5D4F"/>
    <w:rsid w:val="00EA6AF1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EA7E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govinfo.gov/content/pkg/FR-2025-08-08/html/2025-15141.htm" TargetMode="External" /><Relationship Id="rId11" Type="http://schemas.openxmlformats.org/officeDocument/2006/relationships/hyperlink" Target="https://www.govinfo.gov/content/pkg/FR-2025-08-08/pdf/2025-15141.pdf" TargetMode="External" /><Relationship Id="rId12" Type="http://schemas.openxmlformats.org/officeDocument/2006/relationships/hyperlink" Target="https://www.govinfo.gov/content/pkg/FR-2025-07-01/html/2025-12115.htm" TargetMode="External" /><Relationship Id="rId13" Type="http://schemas.openxmlformats.org/officeDocument/2006/relationships/hyperlink" Target="https://www.regulations.gov/docket/PHMSA-2025-0117/document" TargetMode="External" /><Relationship Id="rId14" Type="http://schemas.openxmlformats.org/officeDocument/2006/relationships/hyperlink" Target="http://www.regulations.gov/" TargetMode="External" /><Relationship Id="rId15" Type="http://schemas.openxmlformats.org/officeDocument/2006/relationships/hyperlink" Target="mailto:usatbtep@nist.gov" TargetMode="External" /><Relationship Id="rId16" Type="http://schemas.openxmlformats.org/officeDocument/2006/relationships/hyperlink" Target="http://time-time.net/times/time-zones/usa-canada/current-eastern-time-est.php" TargetMode="External" /><Relationship Id="rId17" Type="http://schemas.openxmlformats.org/officeDocument/2006/relationships/hyperlink" Target="https://24timezones.com/time-zone/et" TargetMode="External" /><Relationship Id="rId18" Type="http://schemas.openxmlformats.org/officeDocument/2006/relationships/hyperlink" Target="https://www.regulations.gov/docket/PHMSA-2011-0023/document" TargetMode="External" /><Relationship Id="rId19" Type="http://schemas.openxmlformats.org/officeDocument/2006/relationships/hyperlink" Target="https://www.regulations.gov/docket/PHMSA-2019-0225/document" TargetMode="External" /><Relationship Id="rId2" Type="http://schemas.openxmlformats.org/officeDocument/2006/relationships/settings" Target="settings.xml" /><Relationship Id="rId20" Type="http://schemas.openxmlformats.org/officeDocument/2006/relationships/header" Target="header1.xml" /><Relationship Id="rId21" Type="http://schemas.openxmlformats.org/officeDocument/2006/relationships/header" Target="header2.xml" /><Relationship Id="rId22" Type="http://schemas.openxmlformats.org/officeDocument/2006/relationships/footer" Target="footer1.xml" /><Relationship Id="rId23" Type="http://schemas.openxmlformats.org/officeDocument/2006/relationships/footer" Target="footer2.xml" /><Relationship Id="rId24" Type="http://schemas.openxmlformats.org/officeDocument/2006/relationships/header" Target="header3.xml" /><Relationship Id="rId25" Type="http://schemas.openxmlformats.org/officeDocument/2006/relationships/theme" Target="theme/theme1.xml" /><Relationship Id="rId26" Type="http://schemas.openxmlformats.org/officeDocument/2006/relationships/numbering" Target="numbering.xml" /><Relationship Id="rId27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USA/final_measure/25_05292_00_e.pdf" TargetMode="External" /><Relationship Id="rId7" Type="http://schemas.openxmlformats.org/officeDocument/2006/relationships/hyperlink" Target="https://members.wto.org/crnattachments/2025/TBT/USA/final_measure/25_05292_01_e.pdf" TargetMode="External" /><Relationship Id="rId8" Type="http://schemas.openxmlformats.org/officeDocument/2006/relationships/hyperlink" Target="https://www.govinfo.gov/content/pkg/FR-2025-07-01/pdf/2025-12115.pdf" TargetMode="External" /><Relationship Id="rId9" Type="http://schemas.openxmlformats.org/officeDocument/2006/relationships/hyperlink" Target="https://www.ecfr.gov/current/title-49/subtitle-B/chapter-I/subchapter-D/part-192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2025-08-14T10:37:00Z</dcterms:created>
  <dcterms:modified xsi:type="dcterms:W3CDTF">2025-08-14T10:37:00Z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