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80981F">
      <w:pPr>
        <w:pStyle w:val="84"/>
        <w:rPr>
          <w:caps w:val="0"/>
          <w:kern w:val="0"/>
        </w:rPr>
      </w:pPr>
      <w:r>
        <w:rPr>
          <w:caps w:val="0"/>
          <w:kern w:val="0"/>
        </w:rPr>
        <w:t>NOTIFICATION</w:t>
      </w:r>
    </w:p>
    <w:p w14:paraId="4758A797">
      <w:pPr>
        <w:pStyle w:val="274"/>
      </w:pPr>
      <w:r>
        <w:t>Revision</w:t>
      </w:r>
    </w:p>
    <w:p w14:paraId="2F222CE4">
      <w:pPr>
        <w:jc w:val="center"/>
      </w:pPr>
      <w:r>
        <w:t>The following notification is being circulated in accordance with Article 10.6.</w:t>
      </w:r>
    </w:p>
    <w:p w14:paraId="4D20E2EC"/>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08" w:type="dxa"/>
          <w:bottom w:w="0" w:type="dxa"/>
          <w:right w:w="108" w:type="dxa"/>
        </w:tblCellMar>
      </w:tblPr>
      <w:tblGrid>
        <w:gridCol w:w="710"/>
        <w:gridCol w:w="8532"/>
      </w:tblGrid>
      <w:tr w14:paraId="0AFCC0D2">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08" w:type="dxa"/>
            <w:bottom w:w="0" w:type="dxa"/>
            <w:right w:w="108" w:type="dxa"/>
          </w:tblCellMar>
        </w:tblPrEx>
        <w:tc>
          <w:tcPr>
            <w:tcW w:w="384" w:type="pct"/>
            <w:tcBorders>
              <w:bottom w:val="single" w:color="auto" w:sz="6" w:space="0"/>
            </w:tcBorders>
            <w:shd w:val="clear" w:color="auto" w:fill="auto"/>
          </w:tcPr>
          <w:p w14:paraId="01AE4524">
            <w:pPr>
              <w:spacing w:before="120" w:after="120"/>
              <w:jc w:val="center"/>
            </w:pPr>
            <w:r>
              <w:rPr>
                <w:b/>
              </w:rPr>
              <w:t>1.</w:t>
            </w:r>
          </w:p>
        </w:tc>
        <w:tc>
          <w:tcPr>
            <w:tcW w:w="4616" w:type="pct"/>
            <w:tcBorders>
              <w:bottom w:val="single" w:color="auto" w:sz="6" w:space="0"/>
            </w:tcBorders>
            <w:shd w:val="clear" w:color="auto" w:fill="auto"/>
          </w:tcPr>
          <w:p w14:paraId="159F1B8C">
            <w:pPr>
              <w:spacing w:before="120" w:after="120"/>
            </w:pPr>
            <w:r>
              <w:rPr>
                <w:b/>
              </w:rPr>
              <w:t>Notifying Member:</w:t>
            </w:r>
            <w:r>
              <w:rPr>
                <w:bCs/>
              </w:rPr>
              <w:t xml:space="preserve"> </w:t>
            </w:r>
            <w:r>
              <w:rPr>
                <w:bCs/>
                <w:u w:val="single"/>
              </w:rPr>
              <w:t>UKRAINE</w:t>
            </w:r>
          </w:p>
          <w:p w14:paraId="13F07672">
            <w:pPr>
              <w:spacing w:after="120"/>
            </w:pPr>
            <w:r>
              <w:rPr>
                <w:b/>
              </w:rPr>
              <w:t>If applicable, name of local government involved (Articles 3.2 and 7.2):</w:t>
            </w:r>
            <w:r>
              <w:t xml:space="preserve"> </w:t>
            </w:r>
          </w:p>
        </w:tc>
      </w:tr>
      <w:tr w14:paraId="1AB01C5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08" w:type="dxa"/>
            <w:bottom w:w="0" w:type="dxa"/>
            <w:right w:w="108" w:type="dxa"/>
          </w:tblCellMar>
        </w:tblPrEx>
        <w:tc>
          <w:tcPr>
            <w:tcW w:w="384" w:type="pct"/>
            <w:tcBorders>
              <w:top w:val="single" w:color="auto" w:sz="6" w:space="0"/>
              <w:bottom w:val="single" w:color="auto" w:sz="6" w:space="0"/>
            </w:tcBorders>
            <w:shd w:val="clear" w:color="auto" w:fill="auto"/>
          </w:tcPr>
          <w:p w14:paraId="1D7DDDC1">
            <w:pPr>
              <w:spacing w:before="120" w:after="120"/>
              <w:jc w:val="center"/>
            </w:pPr>
            <w:r>
              <w:rPr>
                <w:b/>
              </w:rPr>
              <w:t>2.</w:t>
            </w:r>
          </w:p>
        </w:tc>
        <w:tc>
          <w:tcPr>
            <w:tcW w:w="4616" w:type="pct"/>
            <w:tcBorders>
              <w:top w:val="single" w:color="auto" w:sz="6" w:space="0"/>
              <w:bottom w:val="single" w:color="auto" w:sz="6" w:space="0"/>
            </w:tcBorders>
            <w:shd w:val="clear" w:color="auto" w:fill="auto"/>
          </w:tcPr>
          <w:p w14:paraId="00B10810">
            <w:pPr>
              <w:spacing w:before="120" w:after="120"/>
            </w:pPr>
            <w:r>
              <w:rPr>
                <w:b/>
              </w:rPr>
              <w:t>Agency responsible:</w:t>
            </w:r>
            <w:r>
              <w:t xml:space="preserve"> </w:t>
            </w:r>
          </w:p>
          <w:p w14:paraId="09598485">
            <w:pPr>
              <w:spacing w:after="120"/>
            </w:pPr>
            <w:r>
              <w:t>State Agency on Energy Efficiency and Energy Saving of Ukraine</w:t>
            </w:r>
          </w:p>
          <w:p w14:paraId="257528EF">
            <w:pPr>
              <w:spacing w:after="120"/>
              <w:rPr>
                <w:bCs/>
              </w:rPr>
            </w:pPr>
            <w:r>
              <w:rPr>
                <w:b/>
              </w:rPr>
              <w:t>Name and address (including telephone and fax numbers, email and website addresses, if available) of</w:t>
            </w:r>
            <w:r>
              <w:t xml:space="preserve"> </w:t>
            </w:r>
            <w:r>
              <w:rPr>
                <w:b/>
              </w:rPr>
              <w:t>agency or authority designated to handle comments regarding the notification shall be indicated if different from above:</w:t>
            </w:r>
            <w:r>
              <w:rPr>
                <w:bCs/>
              </w:rPr>
              <w:t xml:space="preserve"> </w:t>
            </w:r>
          </w:p>
        </w:tc>
      </w:tr>
      <w:tr w14:paraId="667BAC92">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08" w:type="dxa"/>
            <w:bottom w:w="0" w:type="dxa"/>
            <w:right w:w="108" w:type="dxa"/>
          </w:tblCellMar>
        </w:tblPrEx>
        <w:tc>
          <w:tcPr>
            <w:tcW w:w="384" w:type="pct"/>
            <w:tcBorders>
              <w:top w:val="single" w:color="auto" w:sz="6" w:space="0"/>
              <w:bottom w:val="single" w:color="auto" w:sz="6" w:space="0"/>
            </w:tcBorders>
            <w:shd w:val="clear" w:color="auto" w:fill="auto"/>
          </w:tcPr>
          <w:p w14:paraId="713BDBF7">
            <w:pPr>
              <w:spacing w:before="120" w:after="120"/>
              <w:jc w:val="center"/>
              <w:rPr>
                <w:b/>
              </w:rPr>
            </w:pPr>
            <w:r>
              <w:rPr>
                <w:b/>
              </w:rPr>
              <w:t>3.</w:t>
            </w:r>
          </w:p>
        </w:tc>
        <w:tc>
          <w:tcPr>
            <w:tcW w:w="4616" w:type="pct"/>
            <w:tcBorders>
              <w:top w:val="single" w:color="auto" w:sz="6" w:space="0"/>
              <w:bottom w:val="single" w:color="auto" w:sz="6" w:space="0"/>
            </w:tcBorders>
            <w:shd w:val="clear" w:color="auto" w:fill="auto"/>
          </w:tcPr>
          <w:p w14:paraId="207292EF">
            <w:pPr>
              <w:spacing w:before="120" w:after="120"/>
              <w:rPr>
                <w:b/>
              </w:rPr>
            </w:pPr>
            <w:r>
              <w:rPr>
                <w:b/>
              </w:rPr>
              <w:t>Notified under Article 2.9.2 [X], 2.10.1 [ ], 5.6.2 [</w:t>
            </w:r>
            <w:r>
              <w:rPr>
                <w:rFonts w:hint="eastAsia" w:eastAsia="宋体"/>
                <w:b/>
                <w:lang w:val="en-US" w:eastAsia="zh-CN"/>
              </w:rPr>
              <w:t>X</w:t>
            </w:r>
            <w:r>
              <w:rPr>
                <w:b/>
              </w:rPr>
              <w:t>], 5.7.1 [ ], 3.2 [ ], 7.2 [ ], other:</w:t>
            </w:r>
            <w:r>
              <w:t xml:space="preserve"> </w:t>
            </w:r>
          </w:p>
        </w:tc>
      </w:tr>
      <w:tr w14:paraId="77A8BD05">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08" w:type="dxa"/>
            <w:bottom w:w="0" w:type="dxa"/>
            <w:right w:w="108" w:type="dxa"/>
          </w:tblCellMar>
        </w:tblPrEx>
        <w:tc>
          <w:tcPr>
            <w:tcW w:w="384" w:type="pct"/>
            <w:tcBorders>
              <w:top w:val="single" w:color="auto" w:sz="6" w:space="0"/>
              <w:bottom w:val="single" w:color="auto" w:sz="6" w:space="0"/>
            </w:tcBorders>
            <w:shd w:val="clear" w:color="auto" w:fill="auto"/>
          </w:tcPr>
          <w:p w14:paraId="31983D66">
            <w:pPr>
              <w:spacing w:before="120" w:after="120"/>
              <w:jc w:val="center"/>
            </w:pPr>
            <w:r>
              <w:rPr>
                <w:b/>
              </w:rPr>
              <w:t>4.</w:t>
            </w:r>
          </w:p>
        </w:tc>
        <w:tc>
          <w:tcPr>
            <w:tcW w:w="4616" w:type="pct"/>
            <w:tcBorders>
              <w:top w:val="single" w:color="auto" w:sz="6" w:space="0"/>
              <w:bottom w:val="single" w:color="auto" w:sz="6" w:space="0"/>
            </w:tcBorders>
            <w:shd w:val="clear" w:color="auto" w:fill="auto"/>
          </w:tcPr>
          <w:p w14:paraId="38783C29">
            <w:pPr>
              <w:spacing w:before="120" w:after="120"/>
            </w:pPr>
            <w:r>
              <w:rPr>
                <w:b/>
              </w:rPr>
              <w:t>Products covered (HS or CCCN where applicable, otherwise national tariff heading. ICS numbers may be provided in addition, where applicable):</w:t>
            </w:r>
            <w:r>
              <w:t xml:space="preserve"> Motor alternative fuel for gasoline engines, which means motor fuel (automotive gasoline) containing more than 10% by volume of biocomponents; motor alternative fuel for diesel engines, which means motor fuel (diesel fuel) containing more than 7% by volume of methyl and/or ethyl esters of fatty acids</w:t>
            </w:r>
          </w:p>
        </w:tc>
      </w:tr>
      <w:tr w14:paraId="18459C0A">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08" w:type="dxa"/>
            <w:bottom w:w="0" w:type="dxa"/>
            <w:right w:w="108" w:type="dxa"/>
          </w:tblCellMar>
        </w:tblPrEx>
        <w:tc>
          <w:tcPr>
            <w:tcW w:w="384" w:type="pct"/>
            <w:tcBorders>
              <w:top w:val="single" w:color="auto" w:sz="6" w:space="0"/>
              <w:bottom w:val="single" w:color="auto" w:sz="6" w:space="0"/>
            </w:tcBorders>
            <w:shd w:val="clear" w:color="auto" w:fill="auto"/>
          </w:tcPr>
          <w:p w14:paraId="1F6857A3">
            <w:pPr>
              <w:spacing w:before="120" w:after="120"/>
              <w:jc w:val="center"/>
            </w:pPr>
            <w:r>
              <w:rPr>
                <w:b/>
              </w:rPr>
              <w:t>5.</w:t>
            </w:r>
          </w:p>
        </w:tc>
        <w:tc>
          <w:tcPr>
            <w:tcW w:w="4616" w:type="pct"/>
            <w:tcBorders>
              <w:top w:val="single" w:color="auto" w:sz="6" w:space="0"/>
              <w:bottom w:val="single" w:color="auto" w:sz="6" w:space="0"/>
            </w:tcBorders>
            <w:shd w:val="clear" w:color="auto" w:fill="auto"/>
          </w:tcPr>
          <w:p w14:paraId="29137051">
            <w:pPr>
              <w:spacing w:before="120" w:after="120"/>
            </w:pPr>
            <w:r>
              <w:rPr>
                <w:b/>
              </w:rPr>
              <w:t>Title, number of pages and language(s) of the notified document:</w:t>
            </w:r>
            <w:r>
              <w:t xml:space="preserve"> Draft Resolution of the Cabinet of Ministers of Ukraine "On Approval of the Technical Regulation on Requirements for Motor Alternative Fuels"; (15 page(s), in Ukrainian)</w:t>
            </w:r>
          </w:p>
        </w:tc>
      </w:tr>
      <w:tr w14:paraId="4BE5FA7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08" w:type="dxa"/>
            <w:bottom w:w="0" w:type="dxa"/>
            <w:right w:w="108" w:type="dxa"/>
          </w:tblCellMar>
        </w:tblPrEx>
        <w:tc>
          <w:tcPr>
            <w:tcW w:w="710" w:type="dxa"/>
            <w:tcBorders>
              <w:top w:val="single" w:color="auto" w:sz="6" w:space="0"/>
              <w:bottom w:val="single" w:color="auto" w:sz="6" w:space="0"/>
            </w:tcBorders>
            <w:shd w:val="clear" w:color="auto" w:fill="auto"/>
            <w:vAlign w:val="top"/>
          </w:tcPr>
          <w:p w14:paraId="417FEB8C">
            <w:pPr>
              <w:spacing w:before="120" w:after="120"/>
              <w:jc w:val="center"/>
            </w:pPr>
            <w:r>
              <w:rPr>
                <w:b/>
              </w:rPr>
              <w:t>6.</w:t>
            </w:r>
          </w:p>
        </w:tc>
        <w:tc>
          <w:tcPr>
            <w:tcW w:w="8532" w:type="dxa"/>
            <w:tcBorders>
              <w:top w:val="single" w:color="auto" w:sz="6" w:space="0"/>
              <w:bottom w:val="single" w:color="auto" w:sz="6" w:space="0"/>
            </w:tcBorders>
            <w:shd w:val="clear" w:color="auto" w:fill="auto"/>
            <w:vAlign w:val="top"/>
          </w:tcPr>
          <w:p w14:paraId="28045309">
            <w:pPr>
              <w:spacing w:before="120" w:after="120"/>
            </w:pPr>
            <w:r>
              <w:rPr>
                <w:b/>
              </w:rPr>
              <w:t>Description of content:</w:t>
            </w:r>
            <w:r>
              <w:t xml:space="preserve"> The draft Resolution provides for the approval of:</w:t>
            </w:r>
          </w:p>
          <w:p w14:paraId="5188642C">
            <w:pPr>
              <w:spacing w:before="120" w:after="120"/>
            </w:pPr>
            <w:r>
              <w:t>- the Technical Regulation on Requirements for Motor Alternative Fuels;</w:t>
            </w:r>
          </w:p>
          <w:p w14:paraId="2FC88DCC">
            <w:pPr>
              <w:spacing w:before="120" w:after="120"/>
            </w:pPr>
            <w:r>
              <w:t>- an Amendment to the List of Types of Products Subject to State Market Surveillance by the State Market Surveillance Authorities, approved by Resolution of the Cabinet of Ministers of Ukraine No. 1069 of 28 December 2016.</w:t>
            </w:r>
          </w:p>
          <w:p w14:paraId="49B934A4">
            <w:pPr>
              <w:spacing w:before="120" w:after="120"/>
            </w:pPr>
            <w:r>
              <w:t>The Technical Regulation sets out the requirements for motor alternative fuels placed on the market for use in internal combustion engines of vehicles adapted for such fuels. It contains, inter alia, provisions on requirements for the placing motor alternative fuel on the market and conformity assessment, as well as five annexes.</w:t>
            </w:r>
          </w:p>
          <w:p w14:paraId="548973A5">
            <w:pPr>
              <w:spacing w:before="120" w:after="120"/>
            </w:pPr>
            <w:r>
              <w:t>Compared to the previous version of the draft Technical Regulation, the revised version contains updated provisions on conformity assessment and excludes the annexes to the Technical Regulation previously related to requirements for Hydrotreated Vegetable Oil (HVO), characteristics of fatty acid methyl esters (FAME) and the quality of B100 biodiesel in accordance with the relevant standard.</w:t>
            </w:r>
          </w:p>
          <w:p w14:paraId="0A30A933">
            <w:pPr>
              <w:spacing w:before="120" w:after="120"/>
            </w:pPr>
            <w:r>
              <w:t>The placing on the market and supply of motor alternative fuel are permitted if the requirements of this Technical Regulation are complied with.</w:t>
            </w:r>
          </w:p>
          <w:p w14:paraId="39A9F73A">
            <w:pPr>
              <w:spacing w:before="120" w:after="120"/>
            </w:pPr>
            <w:r>
              <w:t>The labeling of motor alternative fuels placed on the market shall comply with Annex 1 to this Technical Regulation.</w:t>
            </w:r>
          </w:p>
          <w:p w14:paraId="6D34DB67">
            <w:pPr>
              <w:spacing w:before="120" w:after="120"/>
            </w:pPr>
            <w:r>
              <w:t>Motor alternative fuels intended for gasoline engines shall meet the technical requirements set out in Annex 2 to the Technical Regulation.</w:t>
            </w:r>
          </w:p>
          <w:p w14:paraId="334D5E57">
            <w:pPr>
              <w:spacing w:before="120" w:after="120"/>
            </w:pPr>
            <w:r>
              <w:t>Motor alternative fuels intended for diesel engines shall meet the technical requirements set out in Annex 3 to the Technical Regulation.</w:t>
            </w:r>
          </w:p>
          <w:p w14:paraId="4F1D6B8D">
            <w:pPr>
              <w:spacing w:before="120" w:after="120"/>
            </w:pPr>
            <w:r>
              <w:t>The Technical regulation has been developed on the basis of the Law of Ukraine "On Alternative Fuels", taking into account Directive (EU) 2018/2001 of the European Parliament and of the Council of 11 December 2018 on the promotion of the use of energy from renewable sources, Directive 98/70/EC of the European Parliament and of the Council of 13 October 1998 relating to the quality of petrol and diesel fuels and amending Council Directive 93/12/EEC, Directive 2009/30/EC of the European Parliament and of the Council of 23 April 2009 amending Directive 98/70/EC as regards the specification of petrol, diesel and gas-oil and introducing a mechanism to monitor and reduce greenhouse gas emissions and amending Council Directive 1999/32/EC as regards the specification of fuel used by inland waterway vessels and repealing Directive 93/12/EEC.</w:t>
            </w:r>
          </w:p>
        </w:tc>
      </w:tr>
      <w:tr w14:paraId="07CFD948">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08" w:type="dxa"/>
            <w:bottom w:w="0" w:type="dxa"/>
            <w:right w:w="108" w:type="dxa"/>
          </w:tblCellMar>
        </w:tblPrEx>
        <w:tc>
          <w:tcPr>
            <w:tcW w:w="710" w:type="dxa"/>
            <w:tcBorders>
              <w:top w:val="single" w:color="auto" w:sz="6" w:space="0"/>
              <w:bottom w:val="single" w:color="auto" w:sz="6" w:space="0"/>
            </w:tcBorders>
            <w:shd w:val="clear" w:color="auto" w:fill="auto"/>
            <w:vAlign w:val="top"/>
          </w:tcPr>
          <w:p w14:paraId="50C7A165">
            <w:pPr>
              <w:spacing w:before="120" w:after="120"/>
              <w:jc w:val="center"/>
            </w:pPr>
            <w:r>
              <w:rPr>
                <w:b/>
              </w:rPr>
              <w:t>7.</w:t>
            </w:r>
          </w:p>
        </w:tc>
        <w:tc>
          <w:tcPr>
            <w:tcW w:w="8532" w:type="dxa"/>
            <w:tcBorders>
              <w:top w:val="single" w:color="auto" w:sz="6" w:space="0"/>
              <w:bottom w:val="single" w:color="auto" w:sz="6" w:space="0"/>
            </w:tcBorders>
            <w:shd w:val="clear" w:color="auto" w:fill="auto"/>
            <w:vAlign w:val="top"/>
          </w:tcPr>
          <w:p w14:paraId="15876F91">
            <w:pPr>
              <w:spacing w:before="120" w:after="120"/>
            </w:pPr>
            <w:r>
              <w:rPr>
                <w:b/>
              </w:rPr>
              <w:t>Objective and rationale, including the nature of urgent problems where applicable:</w:t>
            </w:r>
            <w:r>
              <w:t xml:space="preserve"> National security requirements; Prevention of deceptive practices and consumer protection; Protection of the environment; Quality requirements; Harmonization </w:t>
            </w:r>
          </w:p>
        </w:tc>
      </w:tr>
      <w:tr w14:paraId="6AB251CC">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08" w:type="dxa"/>
            <w:bottom w:w="0" w:type="dxa"/>
            <w:right w:w="108" w:type="dxa"/>
          </w:tblCellMar>
        </w:tblPrEx>
        <w:tc>
          <w:tcPr>
            <w:tcW w:w="710" w:type="dxa"/>
            <w:tcBorders>
              <w:top w:val="single" w:color="auto" w:sz="6" w:space="0"/>
              <w:bottom w:val="single" w:color="auto" w:sz="6" w:space="0"/>
            </w:tcBorders>
            <w:shd w:val="clear" w:color="auto" w:fill="auto"/>
            <w:vAlign w:val="top"/>
          </w:tcPr>
          <w:p w14:paraId="4BCF5D32">
            <w:pPr>
              <w:spacing w:before="120" w:after="120"/>
              <w:jc w:val="center"/>
            </w:pPr>
            <w:r>
              <w:rPr>
                <w:b/>
              </w:rPr>
              <w:t>8.</w:t>
            </w:r>
          </w:p>
        </w:tc>
        <w:tc>
          <w:tcPr>
            <w:tcW w:w="8532" w:type="dxa"/>
            <w:tcBorders>
              <w:top w:val="single" w:color="auto" w:sz="6" w:space="0"/>
              <w:bottom w:val="single" w:color="auto" w:sz="6" w:space="0"/>
            </w:tcBorders>
            <w:shd w:val="clear" w:color="auto" w:fill="auto"/>
            <w:vAlign w:val="top"/>
          </w:tcPr>
          <w:p w14:paraId="1D0CB33B">
            <w:pPr>
              <w:spacing w:before="120" w:after="120"/>
            </w:pPr>
            <w:r>
              <w:rPr>
                <w:b/>
                <w:bCs/>
              </w:rPr>
              <w:t>Relevant documents:</w:t>
            </w:r>
            <w:r>
              <w:t xml:space="preserve"> </w:t>
            </w:r>
          </w:p>
          <w:p w14:paraId="65CFA3CE">
            <w:pPr>
              <w:spacing w:before="120" w:after="120"/>
            </w:pPr>
            <w:r>
              <w:t>Laws of Ukraine "On Alternative Fuels", "On Technical Regulations and Conformity Assessment"</w:t>
            </w:r>
          </w:p>
        </w:tc>
      </w:tr>
      <w:tr w14:paraId="64105AF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08" w:type="dxa"/>
            <w:bottom w:w="0" w:type="dxa"/>
            <w:right w:w="108" w:type="dxa"/>
          </w:tblCellMar>
        </w:tblPrEx>
        <w:trPr>
          <w:cantSplit/>
        </w:trPr>
        <w:tc>
          <w:tcPr>
            <w:tcW w:w="710" w:type="dxa"/>
            <w:tcBorders>
              <w:top w:val="single" w:color="auto" w:sz="6" w:space="0"/>
              <w:bottom w:val="single" w:color="auto" w:sz="6" w:space="0"/>
            </w:tcBorders>
            <w:shd w:val="clear" w:color="auto" w:fill="auto"/>
            <w:vAlign w:val="top"/>
          </w:tcPr>
          <w:p w14:paraId="55F8FA71">
            <w:pPr>
              <w:spacing w:before="120" w:after="120"/>
              <w:jc w:val="center"/>
              <w:rPr>
                <w:b/>
              </w:rPr>
            </w:pPr>
            <w:r>
              <w:rPr>
                <w:b/>
              </w:rPr>
              <w:t>9.</w:t>
            </w:r>
          </w:p>
        </w:tc>
        <w:tc>
          <w:tcPr>
            <w:tcW w:w="8532" w:type="dxa"/>
            <w:tcBorders>
              <w:top w:val="single" w:color="auto" w:sz="6" w:space="0"/>
              <w:bottom w:val="single" w:color="auto" w:sz="6" w:space="0"/>
            </w:tcBorders>
            <w:shd w:val="clear" w:color="auto" w:fill="auto"/>
            <w:vAlign w:val="top"/>
          </w:tcPr>
          <w:p w14:paraId="30E51686">
            <w:pPr>
              <w:spacing w:before="120" w:after="120"/>
            </w:pPr>
            <w:r>
              <w:rPr>
                <w:b/>
              </w:rPr>
              <w:t>Proposed date of adoption:</w:t>
            </w:r>
            <w:r>
              <w:rPr>
                <w:bCs/>
              </w:rPr>
              <w:t xml:space="preserve"> To be determined</w:t>
            </w:r>
          </w:p>
          <w:p w14:paraId="40ADA376">
            <w:pPr>
              <w:spacing w:after="120"/>
            </w:pPr>
            <w:r>
              <w:rPr>
                <w:b/>
              </w:rPr>
              <w:t>Proposed date of entry into force:</w:t>
            </w:r>
            <w:r>
              <w:rPr>
                <w:bCs/>
              </w:rPr>
              <w:t xml:space="preserve"> This Resolution will enter into force six months after its publication</w:t>
            </w:r>
          </w:p>
        </w:tc>
      </w:tr>
      <w:tr w14:paraId="04E02D0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08" w:type="dxa"/>
            <w:bottom w:w="0" w:type="dxa"/>
            <w:right w:w="108" w:type="dxa"/>
          </w:tblCellMar>
        </w:tblPrEx>
        <w:tc>
          <w:tcPr>
            <w:tcW w:w="384" w:type="pct"/>
            <w:tcBorders>
              <w:top w:val="single" w:color="auto" w:sz="6" w:space="0"/>
              <w:bottom w:val="single" w:color="auto" w:sz="6" w:space="0"/>
            </w:tcBorders>
            <w:shd w:val="clear" w:color="auto" w:fill="auto"/>
          </w:tcPr>
          <w:p w14:paraId="627F4006">
            <w:pPr>
              <w:spacing w:before="120" w:after="120"/>
              <w:jc w:val="center"/>
            </w:pPr>
            <w:r>
              <w:rPr>
                <w:b/>
              </w:rPr>
              <w:t>10.</w:t>
            </w:r>
          </w:p>
        </w:tc>
        <w:tc>
          <w:tcPr>
            <w:tcW w:w="4616" w:type="pct"/>
            <w:tcBorders>
              <w:top w:val="single" w:color="auto" w:sz="6" w:space="0"/>
              <w:bottom w:val="single" w:color="auto" w:sz="6" w:space="0"/>
            </w:tcBorders>
            <w:shd w:val="clear" w:color="auto" w:fill="auto"/>
          </w:tcPr>
          <w:p w14:paraId="43A1AD48">
            <w:pPr>
              <w:spacing w:before="120" w:after="120"/>
              <w:rPr>
                <w:rFonts w:hint="eastAsia" w:eastAsia="宋体"/>
                <w:bCs/>
                <w:lang w:eastAsia="zh-CN"/>
              </w:rPr>
            </w:pPr>
            <w:r>
              <w:rPr>
                <w:b/>
              </w:rPr>
              <w:t>Final date for comments:</w:t>
            </w:r>
            <w:r>
              <w:t xml:space="preserve">  6 October 2025</w:t>
            </w:r>
            <w:r>
              <w:rPr>
                <w:rFonts w:hint="eastAsia" w:eastAsia="宋体"/>
                <w:lang w:eastAsia="zh-CN"/>
              </w:rPr>
              <w:t>；</w:t>
            </w:r>
          </w:p>
          <w:p w14:paraId="2C817C9F">
            <w:pPr>
              <w:spacing w:before="120" w:after="120"/>
              <w:rPr>
                <w:b/>
                <w:bCs/>
              </w:rPr>
            </w:pPr>
            <w:r>
              <w:rPr>
                <w:b/>
                <w:bCs/>
              </w:rPr>
              <w:t>[X] 60 days from notification</w:t>
            </w:r>
            <w:r>
              <w:rPr>
                <w:rFonts w:hint="eastAsia" w:eastAsia="宋体"/>
                <w:b/>
                <w:bCs/>
                <w:lang w:eastAsia="zh-CN"/>
              </w:rPr>
              <w:t>；</w:t>
            </w:r>
            <w:bookmarkStart w:id="10" w:name="_GoBack"/>
            <w:bookmarkEnd w:id="10"/>
            <w:r>
              <w:t xml:space="preserve"> </w:t>
            </w:r>
          </w:p>
          <w:p w14:paraId="7E96B4F4">
            <w:pPr>
              <w:spacing w:before="120" w:after="120"/>
            </w:pPr>
            <w:r>
              <w:rPr>
                <w:b/>
                <w:bCs/>
              </w:rPr>
              <w:t>Contact details of agency or authority designated to handle comments regarding the notification:</w:t>
            </w:r>
            <w:r>
              <w:t xml:space="preserve"> </w:t>
            </w:r>
          </w:p>
          <w:p w14:paraId="76A8E2A2">
            <w:r>
              <w:t>Ministry of Economy, Environment and Agriculture of Ukraine</w:t>
            </w:r>
          </w:p>
          <w:p w14:paraId="480B5391">
            <w:r>
              <w:t>Department for Trade Agreements</w:t>
            </w:r>
          </w:p>
          <w:p w14:paraId="7591BF1C">
            <w:r>
              <w:t>12/2 Hrushevskoho Str.</w:t>
            </w:r>
          </w:p>
          <w:p w14:paraId="735D826A">
            <w:r>
              <w:t>Kyiv 01008</w:t>
            </w:r>
          </w:p>
          <w:p w14:paraId="6561166A">
            <w:r>
              <w:t>Tel: +(38 044) 596 6839</w:t>
            </w:r>
          </w:p>
          <w:p w14:paraId="58A5CEBA">
            <w:r>
              <w:t xml:space="preserve">Email: </w:t>
            </w:r>
            <w:r>
              <w:fldChar w:fldCharType="begin"/>
            </w:r>
            <w:r>
              <w:instrText xml:space="preserve"> HYPERLINK "mailto:ep@me.gov.ua" </w:instrText>
            </w:r>
            <w:r>
              <w:fldChar w:fldCharType="separate"/>
            </w:r>
            <w:r>
              <w:rPr>
                <w:color w:val="0000FF"/>
                <w:u w:val="single"/>
              </w:rPr>
              <w:t>ep@me.gov.ua</w:t>
            </w:r>
            <w:r>
              <w:rPr>
                <w:color w:val="0000FF"/>
                <w:u w:val="single"/>
              </w:rPr>
              <w:fldChar w:fldCharType="end"/>
            </w:r>
          </w:p>
          <w:p w14:paraId="1784377E">
            <w:pPr>
              <w:spacing w:before="120" w:after="120"/>
            </w:pPr>
            <w:r>
              <w:t xml:space="preserve">Website: </w:t>
            </w:r>
            <w:r>
              <w:fldChar w:fldCharType="begin"/>
            </w:r>
            <w:r>
              <w:instrText xml:space="preserve"> HYPERLINK "https://www.me.gov.ua" \t "_blank" </w:instrText>
            </w:r>
            <w:r>
              <w:fldChar w:fldCharType="separate"/>
            </w:r>
            <w:r>
              <w:rPr>
                <w:color w:val="0000FF"/>
                <w:u w:val="single"/>
              </w:rPr>
              <w:t>https://www.me.gov.ua</w:t>
            </w:r>
            <w:r>
              <w:rPr>
                <w:color w:val="0000FF"/>
                <w:u w:val="single"/>
              </w:rPr>
              <w:fldChar w:fldCharType="end"/>
            </w:r>
          </w:p>
        </w:tc>
      </w:tr>
      <w:tr w14:paraId="5FEEF68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08" w:type="dxa"/>
            <w:bottom w:w="0" w:type="dxa"/>
            <w:right w:w="108" w:type="dxa"/>
          </w:tblCellMar>
        </w:tblPrEx>
        <w:trPr>
          <w:trHeight w:val="345" w:hRule="atLeast"/>
        </w:trPr>
        <w:tc>
          <w:tcPr>
            <w:tcW w:w="384" w:type="pct"/>
            <w:tcBorders>
              <w:top w:val="single" w:color="auto" w:sz="6" w:space="0"/>
              <w:bottom w:val="double" w:color="auto" w:sz="6" w:space="0"/>
            </w:tcBorders>
            <w:shd w:val="clear" w:color="auto" w:fill="auto"/>
          </w:tcPr>
          <w:p w14:paraId="272BE6F8">
            <w:pPr>
              <w:keepNext/>
              <w:keepLines/>
              <w:spacing w:before="120" w:after="120"/>
              <w:jc w:val="center"/>
            </w:pPr>
            <w:r>
              <w:rPr>
                <w:b/>
              </w:rPr>
              <w:t>11.</w:t>
            </w:r>
          </w:p>
        </w:tc>
        <w:tc>
          <w:tcPr>
            <w:tcW w:w="4616" w:type="pct"/>
            <w:tcBorders>
              <w:top w:val="single" w:color="auto" w:sz="6" w:space="0"/>
              <w:bottom w:val="double" w:color="auto" w:sz="6" w:space="0"/>
            </w:tcBorders>
            <w:shd w:val="clear" w:color="auto" w:fill="auto"/>
          </w:tcPr>
          <w:p w14:paraId="5A487CE0">
            <w:pPr>
              <w:keepNext/>
              <w:keepLines/>
              <w:spacing w:before="120" w:after="120"/>
              <w:rPr>
                <w:b/>
              </w:rPr>
            </w:pPr>
            <w:r>
              <w:rPr>
                <w:b/>
              </w:rPr>
              <w:t>Texts available from: National enquiry point [ ] or address, telephone or fax numbers and email and website addresses, if available, of other body:</w:t>
            </w:r>
            <w:r>
              <w:t xml:space="preserve"> </w:t>
            </w:r>
          </w:p>
          <w:p w14:paraId="6E47597A">
            <w:pPr>
              <w:rPr>
                <w:iCs/>
              </w:rPr>
            </w:pPr>
            <w:r>
              <w:rPr>
                <w:iCs/>
              </w:rPr>
              <w:t>Ministry of Economy, Environment and Agriculture of Ukraine</w:t>
            </w:r>
          </w:p>
          <w:p w14:paraId="42408938">
            <w:pPr>
              <w:rPr>
                <w:iCs/>
              </w:rPr>
            </w:pPr>
            <w:r>
              <w:rPr>
                <w:iCs/>
              </w:rPr>
              <w:t>Department for Trade Agreements</w:t>
            </w:r>
          </w:p>
          <w:p w14:paraId="40DCF266">
            <w:pPr>
              <w:rPr>
                <w:iCs/>
              </w:rPr>
            </w:pPr>
            <w:r>
              <w:rPr>
                <w:iCs/>
              </w:rPr>
              <w:t>12/2 Hrushevskoho Str.</w:t>
            </w:r>
          </w:p>
          <w:p w14:paraId="774C10B6">
            <w:pPr>
              <w:rPr>
                <w:iCs/>
              </w:rPr>
            </w:pPr>
            <w:r>
              <w:rPr>
                <w:iCs/>
              </w:rPr>
              <w:t>Kyiv 01008</w:t>
            </w:r>
          </w:p>
          <w:p w14:paraId="3C2A1845">
            <w:pPr>
              <w:rPr>
                <w:iCs/>
              </w:rPr>
            </w:pPr>
            <w:r>
              <w:rPr>
                <w:iCs/>
              </w:rPr>
              <w:t>Tel: +(38 044) 596 6839</w:t>
            </w:r>
          </w:p>
          <w:p w14:paraId="35F1D62D">
            <w:pPr>
              <w:rPr>
                <w:iCs/>
              </w:rPr>
            </w:pPr>
            <w:r>
              <w:rPr>
                <w:iCs/>
              </w:rPr>
              <w:t xml:space="preserve">Email: </w:t>
            </w:r>
            <w:r>
              <w:fldChar w:fldCharType="begin"/>
            </w:r>
            <w:r>
              <w:instrText xml:space="preserve"> HYPERLINK "mailto:ep@me.gov.ua" </w:instrText>
            </w:r>
            <w:r>
              <w:fldChar w:fldCharType="separate"/>
            </w:r>
            <w:r>
              <w:rPr>
                <w:iCs/>
                <w:color w:val="0000FF"/>
                <w:u w:val="single"/>
              </w:rPr>
              <w:t>ep@me.gov.ua</w:t>
            </w:r>
            <w:r>
              <w:rPr>
                <w:iCs/>
                <w:color w:val="0000FF"/>
                <w:u w:val="single"/>
              </w:rPr>
              <w:fldChar w:fldCharType="end"/>
            </w:r>
          </w:p>
          <w:p w14:paraId="40870A77">
            <w:pPr>
              <w:keepNext/>
              <w:keepLines/>
              <w:rPr>
                <w:rFonts w:hint="eastAsia" w:eastAsia="宋体"/>
                <w:iCs/>
                <w:color w:val="0000FF"/>
                <w:u w:val="single"/>
                <w:lang w:val="en-US" w:eastAsia="zh-CN"/>
              </w:rPr>
            </w:pPr>
            <w:r>
              <w:rPr>
                <w:iCs/>
              </w:rPr>
              <w:t xml:space="preserve">Website: </w:t>
            </w:r>
            <w:r>
              <w:fldChar w:fldCharType="begin"/>
            </w:r>
            <w:r>
              <w:instrText xml:space="preserve"> HYPERLINK "https://www.me.gov.ua" \t "_blank" </w:instrText>
            </w:r>
            <w:r>
              <w:fldChar w:fldCharType="separate"/>
            </w:r>
            <w:r>
              <w:rPr>
                <w:iCs/>
                <w:color w:val="0000FF"/>
                <w:u w:val="single"/>
              </w:rPr>
              <w:t>https://www.me.gov.ua</w:t>
            </w:r>
            <w:r>
              <w:rPr>
                <w:iCs/>
                <w:color w:val="0000FF"/>
                <w:u w:val="single"/>
              </w:rPr>
              <w:fldChar w:fldCharType="end"/>
            </w:r>
            <w:r>
              <w:rPr>
                <w:rFonts w:hint="eastAsia" w:eastAsia="宋体"/>
                <w:iCs/>
                <w:color w:val="0000FF"/>
                <w:u w:val="single"/>
                <w:lang w:val="en-US" w:eastAsia="zh-CN"/>
              </w:rPr>
              <w:t xml:space="preserve">   </w:t>
            </w:r>
          </w:p>
          <w:p w14:paraId="41417A94">
            <w:pPr>
              <w:keepNext/>
              <w:keepLines/>
              <w:rPr>
                <w:rFonts w:hint="default" w:eastAsia="宋体"/>
                <w:iCs/>
                <w:color w:val="0000FF"/>
                <w:u w:val="single"/>
                <w:lang w:val="en-US" w:eastAsia="zh-CN"/>
              </w:rPr>
            </w:pPr>
          </w:p>
          <w:p w14:paraId="44AD4E1E">
            <w:pPr>
              <w:pBdr>
                <w:top w:val="none" w:color="auto" w:sz="0" w:space="4"/>
              </w:pBdr>
              <w:rPr>
                <w:iCs/>
              </w:rPr>
            </w:pPr>
            <w:r>
              <w:fldChar w:fldCharType="begin"/>
            </w:r>
            <w:r>
              <w:instrText xml:space="preserve"> HYPERLINK "https://members.wto.org/crnattachments/2025/TBT/UKR/25_05214_00_x.pdf" \t "_blank" </w:instrText>
            </w:r>
            <w:r>
              <w:fldChar w:fldCharType="separate"/>
            </w:r>
            <w:r>
              <w:rPr>
                <w:iCs/>
                <w:color w:val="0000FF"/>
                <w:u w:val="single"/>
              </w:rPr>
              <w:t>https://members.wto.org/crnattachments/2025/TBT/UKR/25_05214_00_x.pdf</w:t>
            </w:r>
            <w:r>
              <w:rPr>
                <w:iCs/>
                <w:color w:val="0000FF"/>
                <w:u w:val="single"/>
              </w:rPr>
              <w:fldChar w:fldCharType="end"/>
            </w:r>
          </w:p>
          <w:p w14:paraId="479AB1BC">
            <w:pPr>
              <w:rPr>
                <w:iCs/>
              </w:rPr>
            </w:pPr>
            <w:r>
              <w:fldChar w:fldCharType="begin"/>
            </w:r>
            <w:r>
              <w:instrText xml:space="preserve"> HYPERLINK "https://members.wto.org/crnattachments/2025/TBT/UKR/25_05214_01_x.pdf" \t "_blank" </w:instrText>
            </w:r>
            <w:r>
              <w:fldChar w:fldCharType="separate"/>
            </w:r>
            <w:r>
              <w:rPr>
                <w:iCs/>
                <w:color w:val="0000FF"/>
                <w:u w:val="single"/>
              </w:rPr>
              <w:t>https://members.wto.org/crnattachments/2025/TBT/UKR/25_05214_01_x.pdf</w:t>
            </w:r>
            <w:r>
              <w:rPr>
                <w:iCs/>
                <w:color w:val="0000FF"/>
                <w:u w:val="single"/>
              </w:rPr>
              <w:fldChar w:fldCharType="end"/>
            </w:r>
          </w:p>
          <w:p w14:paraId="14A15529">
            <w:pPr>
              <w:rPr>
                <w:iCs/>
              </w:rPr>
            </w:pPr>
            <w:r>
              <w:fldChar w:fldCharType="begin"/>
            </w:r>
            <w:r>
              <w:instrText xml:space="preserve"> HYPERLINK "https://members.wto.org/crnattachments/2025/TBT/UKR/25_05214_02_x.pdf" \t "_blank" </w:instrText>
            </w:r>
            <w:r>
              <w:fldChar w:fldCharType="separate"/>
            </w:r>
            <w:r>
              <w:rPr>
                <w:iCs/>
                <w:color w:val="0000FF"/>
                <w:u w:val="single"/>
              </w:rPr>
              <w:t>https://members.wto.org/crnattachments/2025/TBT/UKR/25_05214_02_x.pdf</w:t>
            </w:r>
            <w:r>
              <w:rPr>
                <w:iCs/>
                <w:color w:val="0000FF"/>
                <w:u w:val="single"/>
              </w:rPr>
              <w:fldChar w:fldCharType="end"/>
            </w:r>
          </w:p>
          <w:p w14:paraId="0C4CD3E6">
            <w:pPr>
              <w:rPr>
                <w:iCs/>
              </w:rPr>
            </w:pPr>
            <w:r>
              <w:fldChar w:fldCharType="begin"/>
            </w:r>
            <w:r>
              <w:instrText xml:space="preserve"> HYPERLINK "https://members.wto.org/crnattachments/2025/TBT/UKR/25_05214_03_x.pdf" \t "_blank" </w:instrText>
            </w:r>
            <w:r>
              <w:fldChar w:fldCharType="separate"/>
            </w:r>
            <w:r>
              <w:rPr>
                <w:iCs/>
                <w:color w:val="0000FF"/>
                <w:u w:val="single"/>
              </w:rPr>
              <w:t>https://members.wto.org/crnattachments/2025/TBT/UKR/25_05214_03_x.pdf</w:t>
            </w:r>
            <w:r>
              <w:rPr>
                <w:iCs/>
                <w:color w:val="0000FF"/>
                <w:u w:val="single"/>
              </w:rPr>
              <w:fldChar w:fldCharType="end"/>
            </w:r>
          </w:p>
          <w:p w14:paraId="7A69D566">
            <w:pPr>
              <w:rPr>
                <w:iCs/>
              </w:rPr>
            </w:pPr>
            <w:r>
              <w:fldChar w:fldCharType="begin"/>
            </w:r>
            <w:r>
              <w:instrText xml:space="preserve"> HYPERLINK "https://members.wto.org/crnattachments/2025/TBT/UKR/25_05214_04_x.pdf" \t "_blank" </w:instrText>
            </w:r>
            <w:r>
              <w:fldChar w:fldCharType="separate"/>
            </w:r>
            <w:r>
              <w:rPr>
                <w:iCs/>
                <w:color w:val="0000FF"/>
                <w:u w:val="single"/>
              </w:rPr>
              <w:t>https://members.wto.org/crnattachments/2025/TBT/UKR/25_05214_04_x.pdf</w:t>
            </w:r>
            <w:r>
              <w:rPr>
                <w:iCs/>
                <w:color w:val="0000FF"/>
                <w:u w:val="single"/>
              </w:rPr>
              <w:fldChar w:fldCharType="end"/>
            </w:r>
          </w:p>
          <w:p w14:paraId="492CA8C2">
            <w:pPr>
              <w:rPr>
                <w:iCs/>
              </w:rPr>
            </w:pPr>
            <w:r>
              <w:fldChar w:fldCharType="begin"/>
            </w:r>
            <w:r>
              <w:instrText xml:space="preserve"> HYPERLINK "https://members.wto.org/crnattachments/2025/TBT/UKR/25_05214_05_x.pdf" \t "_blank" </w:instrText>
            </w:r>
            <w:r>
              <w:fldChar w:fldCharType="separate"/>
            </w:r>
            <w:r>
              <w:rPr>
                <w:iCs/>
                <w:color w:val="0000FF"/>
                <w:u w:val="single"/>
              </w:rPr>
              <w:t>https://members.wto.org/crnattachments/2025/TBT/UKR/25_05214_05_x.pdf</w:t>
            </w:r>
            <w:r>
              <w:rPr>
                <w:iCs/>
                <w:color w:val="0000FF"/>
                <w:u w:val="single"/>
              </w:rPr>
              <w:fldChar w:fldCharType="end"/>
            </w:r>
          </w:p>
          <w:p w14:paraId="5152FA4F">
            <w:pPr>
              <w:rPr>
                <w:iCs/>
              </w:rPr>
            </w:pPr>
            <w:r>
              <w:fldChar w:fldCharType="begin"/>
            </w:r>
            <w:r>
              <w:instrText xml:space="preserve"> HYPERLINK "https://members.wto.org/crnattachments/2025/TBT/UKR/25_05214_06_x.pdf" \t "_blank" </w:instrText>
            </w:r>
            <w:r>
              <w:fldChar w:fldCharType="separate"/>
            </w:r>
            <w:r>
              <w:rPr>
                <w:iCs/>
                <w:color w:val="0000FF"/>
                <w:u w:val="single"/>
              </w:rPr>
              <w:t>https://members.wto.org/crnattachments/2025/TBT/UKR/25_05214_06_x.pdf</w:t>
            </w:r>
            <w:r>
              <w:rPr>
                <w:iCs/>
                <w:color w:val="0000FF"/>
                <w:u w:val="single"/>
              </w:rPr>
              <w:fldChar w:fldCharType="end"/>
            </w:r>
          </w:p>
          <w:p w14:paraId="77598EC0">
            <w:pPr>
              <w:pBdr>
                <w:bottom w:val="none" w:color="auto" w:sz="0" w:space="4"/>
              </w:pBdr>
              <w:rPr>
                <w:iCs/>
              </w:rPr>
            </w:pPr>
            <w:r>
              <w:fldChar w:fldCharType="begin"/>
            </w:r>
            <w:r>
              <w:instrText xml:space="preserve"> HYPERLINK "https://members.wto.org/crnattachments/2025/TBT/UKR/25_05214_07_x.pdf" \t "_blank" </w:instrText>
            </w:r>
            <w:r>
              <w:fldChar w:fldCharType="separate"/>
            </w:r>
            <w:r>
              <w:rPr>
                <w:iCs/>
                <w:color w:val="0000FF"/>
                <w:u w:val="single"/>
              </w:rPr>
              <w:t>https://members.wto.org/crnattachments/2025/TBT/UKR/25_05214_07_x.pdf</w:t>
            </w:r>
            <w:r>
              <w:rPr>
                <w:iCs/>
                <w:color w:val="0000FF"/>
                <w:u w:val="single"/>
              </w:rPr>
              <w:fldChar w:fldCharType="end"/>
            </w:r>
          </w:p>
          <w:p w14:paraId="41C644BA">
            <w:r>
              <w:fldChar w:fldCharType="begin"/>
            </w:r>
            <w:r>
              <w:instrText xml:space="preserve"> HYPERLINK "https://saee.gov.ua/npas/proekty-npa" \t "_blank" </w:instrText>
            </w:r>
            <w:r>
              <w:fldChar w:fldCharType="separate"/>
            </w:r>
            <w:r>
              <w:rPr>
                <w:iCs/>
                <w:color w:val="0000FF"/>
                <w:u w:val="single"/>
              </w:rPr>
              <w:t>https://saee.gov.ua/npas/proekty-npa</w:t>
            </w:r>
            <w:r>
              <w:rPr>
                <w:iCs/>
                <w:color w:val="0000FF"/>
                <w:u w:val="single"/>
              </w:rPr>
              <w:fldChar w:fldCharType="end"/>
            </w:r>
          </w:p>
          <w:p w14:paraId="1864B1DC">
            <w:pPr>
              <w:pBdr>
                <w:top w:val="none" w:color="auto" w:sz="0" w:space="4"/>
                <w:bottom w:val="none" w:color="auto" w:sz="0" w:space="4"/>
              </w:pBdr>
            </w:pPr>
          </w:p>
        </w:tc>
      </w:tr>
    </w:tbl>
    <w:p w14:paraId="521F2B86"/>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2AE983">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5390F7">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468652">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0A53A6">
    <w:pPr>
      <w:pStyle w:val="58"/>
      <w:pBdr>
        <w:bottom w:val="single" w:color="auto" w:sz="4" w:space="1"/>
      </w:pBdr>
      <w:tabs>
        <w:tab w:val="clear" w:pos="4513"/>
        <w:tab w:val="clear" w:pos="9027"/>
      </w:tabs>
      <w:jc w:val="center"/>
    </w:pPr>
    <w:bookmarkStart w:id="9" w:name="spsSymbolHeader"/>
    <w:r>
      <w:t>G/TBT/N/THA/671/Rev.2</w:t>
    </w:r>
    <w:bookmarkEnd w:id="9"/>
  </w:p>
  <w:p w14:paraId="64380448">
    <w:pPr>
      <w:pStyle w:val="58"/>
      <w:pBdr>
        <w:bottom w:val="single" w:color="auto" w:sz="4" w:space="1"/>
      </w:pBdr>
      <w:tabs>
        <w:tab w:val="clear" w:pos="4513"/>
        <w:tab w:val="clear" w:pos="9027"/>
      </w:tabs>
      <w:jc w:val="center"/>
    </w:pPr>
  </w:p>
  <w:p w14:paraId="54093D75">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0187A2A6">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5A6DFE">
    <w:pPr>
      <w:pStyle w:val="58"/>
      <w:pBdr>
        <w:bottom w:val="single" w:color="auto" w:sz="4" w:space="1"/>
      </w:pBdr>
      <w:tabs>
        <w:tab w:val="clear" w:pos="4513"/>
        <w:tab w:val="clear" w:pos="9027"/>
      </w:tabs>
      <w:jc w:val="center"/>
    </w:pPr>
    <w:r>
      <w:t>G/TBT/N/COUNTRY</w:t>
    </w:r>
  </w:p>
  <w:p w14:paraId="693A6AE9">
    <w:pPr>
      <w:pStyle w:val="58"/>
      <w:pBdr>
        <w:bottom w:val="single" w:color="auto" w:sz="4" w:space="1"/>
      </w:pBdr>
      <w:tabs>
        <w:tab w:val="clear" w:pos="4513"/>
        <w:tab w:val="clear" w:pos="9027"/>
      </w:tabs>
      <w:jc w:val="center"/>
    </w:pPr>
  </w:p>
  <w:p w14:paraId="01244AFC">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685D4CF5">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396CCE94">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76D082E5">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383A8E2B">
          <w:pPr>
            <w:jc w:val="right"/>
            <w:rPr>
              <w:b/>
              <w:color w:val="FF0000"/>
              <w:szCs w:val="16"/>
            </w:rPr>
          </w:pPr>
        </w:p>
      </w:tc>
    </w:tr>
    <w:bookmarkEnd w:id="0"/>
    <w:tr w14:paraId="2294DFCF">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1E3DDE22">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467F7413">
          <w:pPr>
            <w:jc w:val="right"/>
            <w:rPr>
              <w:b/>
              <w:szCs w:val="16"/>
            </w:rPr>
          </w:pPr>
        </w:p>
      </w:tc>
    </w:tr>
    <w:tr w14:paraId="4085C5D9">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445AD90C">
          <w:pPr>
            <w:jc w:val="left"/>
            <w:rPr>
              <w:lang w:eastAsia="en-GB"/>
            </w:rPr>
          </w:pPr>
        </w:p>
      </w:tc>
      <w:tc>
        <w:tcPr>
          <w:tcW w:w="5448" w:type="dxa"/>
          <w:gridSpan w:val="2"/>
          <w:shd w:val="clear" w:color="auto" w:fill="FFFFFF"/>
          <w:tcMar>
            <w:left w:w="108" w:type="dxa"/>
            <w:right w:w="108" w:type="dxa"/>
          </w:tcMar>
        </w:tcPr>
        <w:p w14:paraId="6C457AD2">
          <w:pPr>
            <w:jc w:val="right"/>
            <w:rPr>
              <w:rFonts w:hint="eastAsia" w:eastAsia="宋体"/>
              <w:b/>
              <w:szCs w:val="16"/>
              <w:lang w:val="en-US" w:eastAsia="zh-CN"/>
            </w:rPr>
          </w:pPr>
          <w:bookmarkStart w:id="1" w:name="bmkSymbols"/>
          <w:r>
            <w:rPr>
              <w:b/>
              <w:szCs w:val="16"/>
            </w:rPr>
            <w:t>G/TBT/N/</w:t>
          </w:r>
          <w:r>
            <w:rPr>
              <w:rFonts w:hint="eastAsia" w:eastAsia="宋体"/>
              <w:b/>
              <w:szCs w:val="16"/>
              <w:lang w:val="en-US" w:eastAsia="zh-CN"/>
            </w:rPr>
            <w:t>UKR</w:t>
          </w:r>
          <w:r>
            <w:rPr>
              <w:b/>
              <w:szCs w:val="16"/>
            </w:rPr>
            <w:t>/</w:t>
          </w:r>
          <w:r>
            <w:rPr>
              <w:rFonts w:hint="eastAsia" w:eastAsia="宋体"/>
              <w:b/>
              <w:szCs w:val="16"/>
              <w:lang w:val="en-US" w:eastAsia="zh-CN"/>
            </w:rPr>
            <w:t>338</w:t>
          </w:r>
          <w:r>
            <w:rPr>
              <w:b/>
              <w:szCs w:val="16"/>
            </w:rPr>
            <w:t>/Rev.</w:t>
          </w:r>
          <w:bookmarkEnd w:id="1"/>
          <w:r>
            <w:rPr>
              <w:rFonts w:hint="eastAsia" w:eastAsia="宋体"/>
              <w:b/>
              <w:szCs w:val="16"/>
              <w:lang w:val="en-US" w:eastAsia="zh-CN"/>
            </w:rPr>
            <w:t>1</w:t>
          </w:r>
        </w:p>
      </w:tc>
    </w:tr>
    <w:tr w14:paraId="0EA19D62">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6703DD89"/>
      </w:tc>
      <w:tc>
        <w:tcPr>
          <w:tcW w:w="5448" w:type="dxa"/>
          <w:gridSpan w:val="2"/>
          <w:shd w:val="clear" w:color="auto" w:fill="FFFFFF"/>
          <w:tcMar>
            <w:left w:w="108" w:type="dxa"/>
            <w:right w:w="108" w:type="dxa"/>
          </w:tcMar>
          <w:vAlign w:val="center"/>
        </w:tcPr>
        <w:p w14:paraId="1A56CA75">
          <w:pPr>
            <w:jc w:val="right"/>
            <w:rPr>
              <w:szCs w:val="16"/>
            </w:rPr>
          </w:pPr>
          <w:bookmarkStart w:id="2" w:name="spsDateDistribution"/>
          <w:bookmarkStart w:id="3" w:name="bmkDate"/>
          <w:r>
            <w:rPr>
              <w:szCs w:val="16"/>
            </w:rPr>
            <w:t>7 August 2025</w:t>
          </w:r>
          <w:bookmarkEnd w:id="2"/>
          <w:bookmarkEnd w:id="3"/>
        </w:p>
      </w:tc>
    </w:tr>
    <w:tr w14:paraId="423FE7E1">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691F78E3">
          <w:pPr>
            <w:jc w:val="left"/>
            <w:rPr>
              <w:b/>
            </w:rPr>
          </w:pPr>
          <w:bookmarkStart w:id="4" w:name="bmkSerial"/>
          <w:r>
            <w:rPr>
              <w:b w:val="0"/>
              <w:color w:val="FF0000"/>
            </w:rPr>
            <w:t>(25-</w:t>
          </w:r>
          <w:r>
            <w:rPr>
              <w:rFonts w:hint="eastAsia" w:eastAsia="宋体"/>
              <w:b w:val="0"/>
              <w:color w:val="FF0000"/>
              <w:lang w:val="en-US" w:eastAsia="zh-CN"/>
            </w:rPr>
            <w:t>5034</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776D96D2">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5"/>
        </w:p>
      </w:tc>
    </w:tr>
    <w:tr w14:paraId="28B86486">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28AF8AAA">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7167731F">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44F530B0">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2"/>
  </w:num>
  <w:num w:numId="2">
    <w:abstractNumId w:val="3"/>
  </w:num>
  <w:num w:numId="3">
    <w:abstractNumId w:val="0"/>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removePersonalInformation/>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7BC0"/>
    <w:rsid w:val="000272F6"/>
    <w:rsid w:val="00037AC4"/>
    <w:rsid w:val="000423BF"/>
    <w:rsid w:val="00046D9E"/>
    <w:rsid w:val="000A3EFB"/>
    <w:rsid w:val="000A4945"/>
    <w:rsid w:val="000B31E1"/>
    <w:rsid w:val="00100018"/>
    <w:rsid w:val="0011356B"/>
    <w:rsid w:val="0013337F"/>
    <w:rsid w:val="00150A34"/>
    <w:rsid w:val="00173D7A"/>
    <w:rsid w:val="00181C92"/>
    <w:rsid w:val="00182B84"/>
    <w:rsid w:val="001B468E"/>
    <w:rsid w:val="001B5654"/>
    <w:rsid w:val="001B6060"/>
    <w:rsid w:val="001C5710"/>
    <w:rsid w:val="001D045F"/>
    <w:rsid w:val="001D1D8D"/>
    <w:rsid w:val="001D61A4"/>
    <w:rsid w:val="001E291F"/>
    <w:rsid w:val="00203270"/>
    <w:rsid w:val="002176BC"/>
    <w:rsid w:val="0022230B"/>
    <w:rsid w:val="00231951"/>
    <w:rsid w:val="00233408"/>
    <w:rsid w:val="0026497C"/>
    <w:rsid w:val="00267546"/>
    <w:rsid w:val="0027067B"/>
    <w:rsid w:val="0029715D"/>
    <w:rsid w:val="002B69C3"/>
    <w:rsid w:val="002C68CF"/>
    <w:rsid w:val="002D50AA"/>
    <w:rsid w:val="002F78E9"/>
    <w:rsid w:val="00300269"/>
    <w:rsid w:val="00353CB2"/>
    <w:rsid w:val="003572B4"/>
    <w:rsid w:val="003E6C00"/>
    <w:rsid w:val="003F5EEF"/>
    <w:rsid w:val="00400D4D"/>
    <w:rsid w:val="0041081F"/>
    <w:rsid w:val="00467032"/>
    <w:rsid w:val="0046754A"/>
    <w:rsid w:val="00472BE4"/>
    <w:rsid w:val="00486F72"/>
    <w:rsid w:val="004913FD"/>
    <w:rsid w:val="004B3635"/>
    <w:rsid w:val="004B48EF"/>
    <w:rsid w:val="004B69CA"/>
    <w:rsid w:val="004C341F"/>
    <w:rsid w:val="004E050B"/>
    <w:rsid w:val="004E1F98"/>
    <w:rsid w:val="004F203A"/>
    <w:rsid w:val="00501107"/>
    <w:rsid w:val="005336B8"/>
    <w:rsid w:val="00543B49"/>
    <w:rsid w:val="005441B3"/>
    <w:rsid w:val="00547B5F"/>
    <w:rsid w:val="005B04B9"/>
    <w:rsid w:val="005B63A3"/>
    <w:rsid w:val="005B68C7"/>
    <w:rsid w:val="005B7054"/>
    <w:rsid w:val="005B7BC0"/>
    <w:rsid w:val="005C7C63"/>
    <w:rsid w:val="005D5981"/>
    <w:rsid w:val="005E3073"/>
    <w:rsid w:val="005F30CB"/>
    <w:rsid w:val="005F4259"/>
    <w:rsid w:val="00600C85"/>
    <w:rsid w:val="00612644"/>
    <w:rsid w:val="00617604"/>
    <w:rsid w:val="0063410B"/>
    <w:rsid w:val="00646F7D"/>
    <w:rsid w:val="00674CCD"/>
    <w:rsid w:val="0069402C"/>
    <w:rsid w:val="006A3D8E"/>
    <w:rsid w:val="006A4935"/>
    <w:rsid w:val="006F5826"/>
    <w:rsid w:val="00700181"/>
    <w:rsid w:val="007141CF"/>
    <w:rsid w:val="0073780E"/>
    <w:rsid w:val="00745146"/>
    <w:rsid w:val="007458F7"/>
    <w:rsid w:val="00745C0F"/>
    <w:rsid w:val="00746ACF"/>
    <w:rsid w:val="007577E3"/>
    <w:rsid w:val="00760DB3"/>
    <w:rsid w:val="007640F2"/>
    <w:rsid w:val="00772BB5"/>
    <w:rsid w:val="00782291"/>
    <w:rsid w:val="007B6239"/>
    <w:rsid w:val="007B7A28"/>
    <w:rsid w:val="007E6507"/>
    <w:rsid w:val="007F2B8E"/>
    <w:rsid w:val="00807247"/>
    <w:rsid w:val="00840C2B"/>
    <w:rsid w:val="00854DAF"/>
    <w:rsid w:val="008739FD"/>
    <w:rsid w:val="008751E7"/>
    <w:rsid w:val="00893E85"/>
    <w:rsid w:val="00896CE2"/>
    <w:rsid w:val="008A43B9"/>
    <w:rsid w:val="008C0973"/>
    <w:rsid w:val="008D6315"/>
    <w:rsid w:val="008E372C"/>
    <w:rsid w:val="008E74A6"/>
    <w:rsid w:val="008F6F99"/>
    <w:rsid w:val="00941DF1"/>
    <w:rsid w:val="009434D3"/>
    <w:rsid w:val="009903FC"/>
    <w:rsid w:val="009A3FA6"/>
    <w:rsid w:val="009A6F54"/>
    <w:rsid w:val="009C7DE5"/>
    <w:rsid w:val="009D0EBF"/>
    <w:rsid w:val="009D7160"/>
    <w:rsid w:val="00A14E08"/>
    <w:rsid w:val="00A57051"/>
    <w:rsid w:val="00A6057A"/>
    <w:rsid w:val="00A74017"/>
    <w:rsid w:val="00A75DAA"/>
    <w:rsid w:val="00A83C94"/>
    <w:rsid w:val="00A94ADB"/>
    <w:rsid w:val="00A94F35"/>
    <w:rsid w:val="00A97452"/>
    <w:rsid w:val="00AA332C"/>
    <w:rsid w:val="00AC27F8"/>
    <w:rsid w:val="00AC75D9"/>
    <w:rsid w:val="00AD4C72"/>
    <w:rsid w:val="00AE2AEE"/>
    <w:rsid w:val="00B00276"/>
    <w:rsid w:val="00B107D5"/>
    <w:rsid w:val="00B2087B"/>
    <w:rsid w:val="00B226AA"/>
    <w:rsid w:val="00B230EC"/>
    <w:rsid w:val="00B30408"/>
    <w:rsid w:val="00B52738"/>
    <w:rsid w:val="00B56EDC"/>
    <w:rsid w:val="00B650D6"/>
    <w:rsid w:val="00B657DE"/>
    <w:rsid w:val="00B73EE6"/>
    <w:rsid w:val="00B80CAD"/>
    <w:rsid w:val="00BA4022"/>
    <w:rsid w:val="00BB1F84"/>
    <w:rsid w:val="00BB263B"/>
    <w:rsid w:val="00BB2BFC"/>
    <w:rsid w:val="00BE5468"/>
    <w:rsid w:val="00BF5532"/>
    <w:rsid w:val="00C02C7E"/>
    <w:rsid w:val="00C11EAC"/>
    <w:rsid w:val="00C305D7"/>
    <w:rsid w:val="00C30F2A"/>
    <w:rsid w:val="00C3606A"/>
    <w:rsid w:val="00C43456"/>
    <w:rsid w:val="00C65C0C"/>
    <w:rsid w:val="00C7247C"/>
    <w:rsid w:val="00C808FC"/>
    <w:rsid w:val="00C812EC"/>
    <w:rsid w:val="00C82B33"/>
    <w:rsid w:val="00C87936"/>
    <w:rsid w:val="00C958E9"/>
    <w:rsid w:val="00CA303A"/>
    <w:rsid w:val="00CA368D"/>
    <w:rsid w:val="00CC162F"/>
    <w:rsid w:val="00CC4BA9"/>
    <w:rsid w:val="00CD12A6"/>
    <w:rsid w:val="00CD7D97"/>
    <w:rsid w:val="00CE14AC"/>
    <w:rsid w:val="00CE3EE6"/>
    <w:rsid w:val="00CE4BA1"/>
    <w:rsid w:val="00D000C7"/>
    <w:rsid w:val="00D52A9D"/>
    <w:rsid w:val="00D55AAD"/>
    <w:rsid w:val="00D70FFA"/>
    <w:rsid w:val="00D747AE"/>
    <w:rsid w:val="00D90ADD"/>
    <w:rsid w:val="00D9226C"/>
    <w:rsid w:val="00DA0C04"/>
    <w:rsid w:val="00DA20BD"/>
    <w:rsid w:val="00DC14BC"/>
    <w:rsid w:val="00DC7ACB"/>
    <w:rsid w:val="00DE50DB"/>
    <w:rsid w:val="00DF6AE1"/>
    <w:rsid w:val="00E42A3E"/>
    <w:rsid w:val="00E46FD5"/>
    <w:rsid w:val="00E544BB"/>
    <w:rsid w:val="00E56545"/>
    <w:rsid w:val="00E91874"/>
    <w:rsid w:val="00E94F70"/>
    <w:rsid w:val="00EA2511"/>
    <w:rsid w:val="00EA5D4F"/>
    <w:rsid w:val="00EB6C56"/>
    <w:rsid w:val="00ED54E0"/>
    <w:rsid w:val="00EE1F8F"/>
    <w:rsid w:val="00F10043"/>
    <w:rsid w:val="00F32397"/>
    <w:rsid w:val="00F40595"/>
    <w:rsid w:val="00F4118F"/>
    <w:rsid w:val="00F4523B"/>
    <w:rsid w:val="00F636B2"/>
    <w:rsid w:val="00F66C50"/>
    <w:rsid w:val="00F72BEF"/>
    <w:rsid w:val="00F80D5C"/>
    <w:rsid w:val="00FA4309"/>
    <w:rsid w:val="00FA5EBC"/>
    <w:rsid w:val="00FD224A"/>
    <w:rsid w:val="00FE0068"/>
    <w:rsid w:val="00FF4616"/>
    <w:rsid w:val="119C0A65"/>
    <w:rsid w:val="1C45436D"/>
    <w:rsid w:val="1E411DC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uiPriority="99" w:name="List Continue 2"/>
    <w:lsdException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uiPriority w:val="99"/>
    <w:rPr>
      <w:rFonts w:ascii="Times New Roman" w:hAnsi="Times New Roman"/>
      <w:sz w:val="24"/>
      <w:szCs w:val="24"/>
    </w:rPr>
  </w:style>
  <w:style w:type="paragraph" w:styleId="82">
    <w:name w:val="List Continue 3"/>
    <w:basedOn w:val="1"/>
    <w:semiHidden/>
    <w:unhideWhenUsed/>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vision_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itus xmlns="http://schemas.titus.com/TitusProperties/">
  <TitusGUID xmlns="">95eb9cd1-0e25-4d33-ac13-db99e28feef4</TitusGUID>
  <TitusMetadata xmlns="">eyJucyI6Imh0dHA6XC9cL3d3dy50aXR1cy5jb21cL25zXC9Xb3JsZCBUcmFkZSBPcmdhbml6YXRpb24iLCJwcm9wcyI6W3sibiI6IldUT0NMQVNTSUZJQ0FUSU9OIiwidmFscyI6W3sidmFsdWUiOiJXVE8gT0ZGSUNJQUwifV19XX0=</TitusMetadata>
</titus>
</file>

<file path=customXml/itemProps1.xml><?xml version="1.0" encoding="utf-8"?>
<ds:datastoreItem xmlns:ds="http://schemas.openxmlformats.org/officeDocument/2006/customXml" ds:itemID="{FC2338D8-5592-40FA-96B4-1CBB17926C9C}">
  <ds:schemaRefs/>
</ds:datastoreItem>
</file>

<file path=docProps/app.xml><?xml version="1.0" encoding="utf-8"?>
<Properties xmlns="http://schemas.openxmlformats.org/officeDocument/2006/extended-properties" xmlns:vt="http://schemas.openxmlformats.org/officeDocument/2006/docPropsVTypes">
  <Template>Revision_Regular_EN.dotx</Template>
  <Pages>3</Pages>
  <Words>477</Words>
  <Characters>2838</Characters>
  <Lines>81</Lines>
  <Paragraphs>58</Paragraphs>
  <TotalTime>0</TotalTime>
  <ScaleCrop>false</ScaleCrop>
  <LinksUpToDate>false</LinksUpToDate>
  <CharactersWithSpaces>3287</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2025-03-13T10:11:00Z</dcterms:created>
  <dc:description>LDIMD - DTU</dc:description>
  <dcterms:modified xsi:type="dcterms:W3CDTF">2025-08-07T15:37:16Z</dcterms:modified>
  <dc:title>NOTIFICATION</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95eb9cd1-0e25-4d33-ac13-db99e28feef4</vt:lpwstr>
  </property>
  <property fmtid="{D5CDD505-2E9C-101B-9397-08002B2CF9AE}" pid="4" name="WTOCLASSIFICATION">
    <vt:lpwstr>WTO OFFICIAL</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F2C5B2FFA30E42A69710928719E92E2B_12</vt:lpwstr>
  </property>
</Properties>
</file>