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05B6EE">
      <w:pPr>
        <w:pStyle w:val="84"/>
        <w:rPr>
          <w:caps w:val="0"/>
          <w:kern w:val="0"/>
        </w:rPr>
      </w:pPr>
      <w:r>
        <w:rPr>
          <w:caps w:val="0"/>
          <w:kern w:val="0"/>
        </w:rPr>
        <w:t>NOTIFICATION</w:t>
      </w:r>
    </w:p>
    <w:p w14:paraId="3447AB38">
      <w:pPr>
        <w:jc w:val="center"/>
      </w:pPr>
      <w:r>
        <w:t>The following notification is being circulated in accordance with Article 10.6</w:t>
      </w:r>
    </w:p>
    <w:p w14:paraId="3C804641"/>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63BCDC2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20140D52">
            <w:pPr>
              <w:spacing w:before="120" w:after="120"/>
              <w:jc w:val="left"/>
            </w:pPr>
            <w:r>
              <w:rPr>
                <w:b/>
              </w:rPr>
              <w:t>1.</w:t>
            </w:r>
          </w:p>
        </w:tc>
        <w:tc>
          <w:tcPr>
            <w:tcW w:w="8546" w:type="dxa"/>
            <w:tcBorders>
              <w:bottom w:val="single" w:color="auto" w:sz="6" w:space="0"/>
            </w:tcBorders>
            <w:shd w:val="clear" w:color="auto" w:fill="auto"/>
          </w:tcPr>
          <w:p w14:paraId="3C4FD73C">
            <w:pPr>
              <w:spacing w:before="120" w:after="120"/>
            </w:pPr>
            <w:bookmarkStart w:id="0" w:name="X_TBT_Reg_1A"/>
            <w:r>
              <w:rPr>
                <w:b/>
              </w:rPr>
              <w:t>Notifying Member</w:t>
            </w:r>
            <w:bookmarkEnd w:id="0"/>
            <w:r>
              <w:rPr>
                <w:b/>
              </w:rPr>
              <w:t>:</w:t>
            </w:r>
            <w:r>
              <w:t xml:space="preserve"> </w:t>
            </w:r>
            <w:bookmarkStart w:id="1" w:name="sps1a"/>
            <w:r>
              <w:rPr>
                <w:u w:val="single"/>
              </w:rPr>
              <w:t>ESWATINI</w:t>
            </w:r>
            <w:bookmarkEnd w:id="1"/>
          </w:p>
          <w:p w14:paraId="5E00E778">
            <w:pPr>
              <w:spacing w:after="120"/>
            </w:pPr>
            <w:bookmarkStart w:id="2" w:name="X_TBT_Reg_1B"/>
            <w:r>
              <w:rPr>
                <w:b/>
              </w:rPr>
              <w:t>If applicable, name of local government involved (Article 3.2 and 7.2)</w:t>
            </w:r>
            <w:bookmarkEnd w:id="2"/>
            <w:r>
              <w:rPr>
                <w:b/>
              </w:rPr>
              <w:t>:</w:t>
            </w:r>
            <w:r>
              <w:t xml:space="preserve"> </w:t>
            </w:r>
            <w:bookmarkStart w:id="3" w:name="sps1b"/>
            <w:bookmarkEnd w:id="3"/>
          </w:p>
        </w:tc>
      </w:tr>
      <w:tr w14:paraId="362289E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F56C425">
            <w:pPr>
              <w:spacing w:before="120" w:after="120"/>
              <w:jc w:val="left"/>
            </w:pPr>
            <w:r>
              <w:rPr>
                <w:b/>
              </w:rPr>
              <w:t>2.</w:t>
            </w:r>
          </w:p>
        </w:tc>
        <w:tc>
          <w:tcPr>
            <w:tcW w:w="8546" w:type="dxa"/>
            <w:tcBorders>
              <w:top w:val="single" w:color="auto" w:sz="6" w:space="0"/>
              <w:bottom w:val="single" w:color="auto" w:sz="6" w:space="0"/>
            </w:tcBorders>
            <w:shd w:val="clear" w:color="auto" w:fill="auto"/>
          </w:tcPr>
          <w:p w14:paraId="1EAFA293">
            <w:pPr>
              <w:spacing w:before="120" w:after="120"/>
            </w:pPr>
            <w:bookmarkStart w:id="4" w:name="X_TBT_Reg_2A"/>
            <w:r>
              <w:rPr>
                <w:b/>
              </w:rPr>
              <w:t>Agency responsible</w:t>
            </w:r>
            <w:bookmarkEnd w:id="4"/>
            <w:r>
              <w:rPr>
                <w:b/>
              </w:rPr>
              <w:t>:</w:t>
            </w:r>
            <w:r>
              <w:t xml:space="preserve"> </w:t>
            </w:r>
            <w:bookmarkStart w:id="5" w:name="sps2a"/>
          </w:p>
          <w:bookmarkEnd w:id="5"/>
          <w:p w14:paraId="309DBB1C">
            <w:r>
              <w:t>Eswatini Standards Authority</w:t>
            </w:r>
          </w:p>
          <w:p w14:paraId="2E1FFC49">
            <w:r>
              <w:t>Marbel construction, plot 247, King Mswati 111 Ave west</w:t>
            </w:r>
          </w:p>
          <w:p w14:paraId="1C1E5191">
            <w:r>
              <w:t>PO Box 1399</w:t>
            </w:r>
          </w:p>
          <w:p w14:paraId="522BE15F">
            <w:r>
              <w:t>Matsapha</w:t>
            </w:r>
          </w:p>
          <w:p w14:paraId="7871CE1A">
            <w:r>
              <w:t>+26825184610</w:t>
            </w:r>
          </w:p>
          <w:p w14:paraId="47B06CB1">
            <w:pPr>
              <w:spacing w:after="120"/>
            </w:pPr>
            <w:r>
              <w:fldChar w:fldCharType="begin"/>
            </w:r>
            <w:r>
              <w:instrText xml:space="preserve"> HYPERLINK "mailto:info@swasa.co.sz" </w:instrText>
            </w:r>
            <w:r>
              <w:fldChar w:fldCharType="separate"/>
            </w:r>
            <w:r>
              <w:rPr>
                <w:color w:val="0000FF"/>
                <w:u w:val="single"/>
              </w:rPr>
              <w:t>info@swasa.co.sz</w:t>
            </w:r>
            <w:r>
              <w:rPr>
                <w:color w:val="0000FF"/>
                <w:u w:val="single"/>
              </w:rPr>
              <w:fldChar w:fldCharType="end"/>
            </w:r>
          </w:p>
          <w:p w14:paraId="40B158D9">
            <w:pPr>
              <w:spacing w:after="120"/>
            </w:pPr>
            <w:bookmarkStart w:id="6" w:name="X_TBT_Reg_2B"/>
            <w:r>
              <w:rPr>
                <w:b/>
              </w:rPr>
              <w:t>Name and address (including telephone and fax numbers, email and website addresses, if available) of agency or authority designated to handle comments regarding the notification shall be indicated if different from above</w:t>
            </w:r>
            <w:bookmarkEnd w:id="6"/>
            <w:r>
              <w:rPr>
                <w:b/>
              </w:rPr>
              <w:t>:</w:t>
            </w:r>
            <w:r>
              <w:t xml:space="preserve"> </w:t>
            </w:r>
            <w:bookmarkStart w:id="7" w:name="sps4a"/>
          </w:p>
          <w:bookmarkEnd w:id="7"/>
          <w:p w14:paraId="048324AC">
            <w:pPr>
              <w:spacing w:after="120"/>
            </w:pPr>
          </w:p>
        </w:tc>
      </w:tr>
      <w:tr w14:paraId="3B6B467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611AF05">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F744AED">
            <w:pPr>
              <w:spacing w:before="120" w:after="120"/>
            </w:pPr>
            <w:bookmarkStart w:id="8" w:name="X_TBT_Reg_3A"/>
            <w:r>
              <w:rPr>
                <w:b/>
              </w:rPr>
              <w:t>Notified under Article 2.9.2</w:t>
            </w:r>
            <w:bookmarkEnd w:id="8"/>
            <w:r>
              <w:rPr>
                <w:b/>
              </w:rPr>
              <w:t xml:space="preserve"> [</w:t>
            </w:r>
            <w:bookmarkStart w:id="9" w:name="tbt3a"/>
            <w:r>
              <w:rPr>
                <w:b/>
              </w:rPr>
              <w:t> </w:t>
            </w:r>
            <w:bookmarkEnd w:id="9"/>
            <w:r>
              <w:rPr>
                <w:b/>
              </w:rPr>
              <w:t xml:space="preserve">], </w:t>
            </w:r>
            <w:bookmarkStart w:id="10" w:name="X_TBT_Reg_3B"/>
            <w:r>
              <w:rPr>
                <w:b/>
              </w:rPr>
              <w:t>2.10.1</w:t>
            </w:r>
            <w:bookmarkEnd w:id="10"/>
            <w:r>
              <w:rPr>
                <w:b/>
              </w:rPr>
              <w:t xml:space="preserve"> [</w:t>
            </w:r>
            <w:bookmarkStart w:id="11" w:name="tbt3b"/>
            <w:r>
              <w:rPr>
                <w:b/>
              </w:rPr>
              <w:t> </w:t>
            </w:r>
            <w:bookmarkEnd w:id="11"/>
            <w:r>
              <w:rPr>
                <w:b/>
              </w:rPr>
              <w:t xml:space="preserve">], </w:t>
            </w:r>
            <w:bookmarkStart w:id="12" w:name="X_TBT_Reg_3C"/>
            <w:r>
              <w:rPr>
                <w:b/>
              </w:rPr>
              <w:t>5.6.2</w:t>
            </w:r>
            <w:bookmarkEnd w:id="12"/>
            <w:r>
              <w:rPr>
                <w:b/>
              </w:rPr>
              <w:t xml:space="preserve"> [</w:t>
            </w:r>
            <w:r>
              <w:rPr>
                <w:rFonts w:hint="eastAsia" w:eastAsia="宋体"/>
                <w:b/>
                <w:lang w:val="en-US" w:eastAsia="zh-CN"/>
              </w:rPr>
              <w:t>X</w:t>
            </w:r>
            <w:r>
              <w:rPr>
                <w:b/>
              </w:rPr>
              <w:t xml:space="preserve">], </w:t>
            </w:r>
            <w:bookmarkStart w:id="13" w:name="X_TBT_Reg_3D"/>
            <w:r>
              <w:rPr>
                <w:b/>
              </w:rPr>
              <w:t>5.7.1</w:t>
            </w:r>
            <w:bookmarkEnd w:id="13"/>
            <w:r>
              <w:rPr>
                <w:b/>
              </w:rPr>
              <w:t xml:space="preserve"> [</w:t>
            </w:r>
            <w:bookmarkStart w:id="14" w:name="tbt3d"/>
            <w:r>
              <w:rPr>
                <w:b/>
              </w:rPr>
              <w:t> </w:t>
            </w:r>
            <w:bookmarkEnd w:id="14"/>
            <w:r>
              <w:rPr>
                <w:b/>
              </w:rPr>
              <w:t>], 3.2 [</w:t>
            </w:r>
            <w:bookmarkStart w:id="15" w:name="tbt3e"/>
            <w:r>
              <w:rPr>
                <w:b/>
              </w:rPr>
              <w:t> </w:t>
            </w:r>
            <w:bookmarkEnd w:id="15"/>
            <w:r>
              <w:rPr>
                <w:b/>
              </w:rPr>
              <w:t xml:space="preserve">], 7.2 [], </w:t>
            </w:r>
            <w:bookmarkStart w:id="16" w:name="X_TBT_Reg_3E"/>
            <w:r>
              <w:rPr>
                <w:b/>
              </w:rPr>
              <w:t>other</w:t>
            </w:r>
            <w:bookmarkEnd w:id="16"/>
            <w:bookmarkStart w:id="17" w:name="tbt3g"/>
            <w:bookmarkEnd w:id="17"/>
            <w:r>
              <w:rPr>
                <w:b/>
              </w:rPr>
              <w:t>:</w:t>
            </w:r>
            <w:r>
              <w:t xml:space="preserve"> </w:t>
            </w:r>
            <w:bookmarkStart w:id="18" w:name="tbt3h"/>
            <w:bookmarkEnd w:id="18"/>
          </w:p>
        </w:tc>
      </w:tr>
      <w:tr w14:paraId="5AF83CE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D7AC09C">
            <w:pPr>
              <w:spacing w:before="120" w:after="120"/>
              <w:jc w:val="left"/>
            </w:pPr>
            <w:r>
              <w:rPr>
                <w:b/>
              </w:rPr>
              <w:t>4.</w:t>
            </w:r>
          </w:p>
        </w:tc>
        <w:tc>
          <w:tcPr>
            <w:tcW w:w="8546" w:type="dxa"/>
            <w:tcBorders>
              <w:top w:val="single" w:color="auto" w:sz="6" w:space="0"/>
              <w:bottom w:val="single" w:color="auto" w:sz="6" w:space="0"/>
            </w:tcBorders>
            <w:shd w:val="clear" w:color="auto" w:fill="auto"/>
          </w:tcPr>
          <w:p w14:paraId="093BECCD">
            <w:pPr>
              <w:spacing w:before="120" w:after="120"/>
            </w:pPr>
            <w:bookmarkStart w:id="19" w:name="X_TBT_Reg_4A"/>
            <w:r>
              <w:rPr>
                <w:b/>
              </w:rPr>
              <w:t>Products covered (HS or CCCN where applicable, otherwise national tariff heading. ICS numbers may be provided in addition, where applicable)</w:t>
            </w:r>
            <w:bookmarkEnd w:id="19"/>
            <w:r>
              <w:rPr>
                <w:b/>
              </w:rPr>
              <w:t>:</w:t>
            </w:r>
            <w:r>
              <w:t xml:space="preserve">DARS 1566 Disposable Baby diapers — Specification </w:t>
            </w:r>
          </w:p>
        </w:tc>
      </w:tr>
      <w:tr w14:paraId="68FC941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04642BE">
            <w:pPr>
              <w:spacing w:before="120" w:after="120"/>
              <w:jc w:val="left"/>
            </w:pPr>
            <w:r>
              <w:rPr>
                <w:b/>
              </w:rPr>
              <w:t>5.</w:t>
            </w:r>
          </w:p>
        </w:tc>
        <w:tc>
          <w:tcPr>
            <w:tcW w:w="8546" w:type="dxa"/>
            <w:tcBorders>
              <w:top w:val="single" w:color="auto" w:sz="6" w:space="0"/>
              <w:bottom w:val="single" w:color="auto" w:sz="6" w:space="0"/>
            </w:tcBorders>
            <w:shd w:val="clear" w:color="auto" w:fill="auto"/>
          </w:tcPr>
          <w:p w14:paraId="0284253C">
            <w:pPr>
              <w:spacing w:before="120" w:after="120"/>
            </w:pPr>
            <w:bookmarkStart w:id="20" w:name="X_TBT_Reg_5A"/>
            <w:r>
              <w:rPr>
                <w:b/>
              </w:rPr>
              <w:t>Title, number of pages and language(s) of the notified document</w:t>
            </w:r>
            <w:bookmarkEnd w:id="20"/>
            <w:r>
              <w:rPr>
                <w:b/>
              </w:rPr>
              <w:t>:</w:t>
            </w:r>
            <w:r>
              <w:t xml:space="preserve"> </w:t>
            </w:r>
            <w:bookmarkStart w:id="21" w:name="sps5a"/>
            <w:r>
              <w:rPr>
                <w:b/>
                <w:bCs/>
              </w:rPr>
              <w:t>PRD/SZNS 080:2023 Minimum Requirements for Petroleum Retail Outlets</w:t>
            </w:r>
            <w:r>
              <w:t xml:space="preserve">; </w:t>
            </w:r>
            <w:bookmarkEnd w:id="21"/>
            <w:r>
              <w:t xml:space="preserve"> DARS 1566 Disposable Baby diapers — Specification; (14 page(s), in English)</w:t>
            </w:r>
          </w:p>
        </w:tc>
      </w:tr>
      <w:tr w14:paraId="5B80BAB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CCB4ECA">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6744F53B">
            <w:pPr>
              <w:spacing w:before="120" w:after="120"/>
            </w:pPr>
            <w:r>
              <w:rPr>
                <w:b/>
              </w:rPr>
              <w:t>Description of content:</w:t>
            </w:r>
            <w:r>
              <w:t xml:space="preserve"> This Draft African Standard specifies performance requirements, test method and sampling for disposable Baby diapers.</w:t>
            </w:r>
          </w:p>
        </w:tc>
      </w:tr>
      <w:tr w14:paraId="5758CE0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488CA7C">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3ECCF17B">
            <w:pPr>
              <w:spacing w:before="120" w:after="120"/>
              <w:rPr>
                <w:b/>
              </w:rPr>
            </w:pPr>
            <w:r>
              <w:rPr>
                <w:b/>
              </w:rPr>
              <w:t>Objective and rationale, including the nature of urgent problems where applicable:</w:t>
            </w:r>
            <w:r>
              <w:t xml:space="preserve"> Protection of the environment; Quality requirements; Harmonization; Reducing trade barriers and facilitating trade</w:t>
            </w:r>
          </w:p>
        </w:tc>
      </w:tr>
      <w:tr w14:paraId="5689E77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4E4D44A">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5E90C94C">
            <w:pPr>
              <w:spacing w:before="120" w:after="120"/>
              <w:rPr>
                <w:bCs/>
              </w:rPr>
            </w:pPr>
            <w:r>
              <w:rPr>
                <w:b/>
              </w:rPr>
              <w:t>Relevant documents:</w:t>
            </w:r>
            <w:r>
              <w:t xml:space="preserve"> </w:t>
            </w:r>
          </w:p>
          <w:p w14:paraId="0ED19FB4">
            <w:pPr>
              <w:spacing w:before="120" w:after="120"/>
            </w:pPr>
            <w:r>
              <w:t xml:space="preserve">ISO 187, </w:t>
            </w:r>
            <w:r>
              <w:rPr>
                <w:i/>
                <w:iCs/>
              </w:rPr>
              <w:t>Paper, board and pulps — Standard atmospherefor conditioning and testing and procedure for monitoring the atmosphere and conditioning of samples</w:t>
            </w:r>
          </w:p>
          <w:p w14:paraId="3DCB2631">
            <w:pPr>
              <w:spacing w:before="120" w:after="120"/>
            </w:pPr>
            <w:r>
              <w:t xml:space="preserve">ISO 3071, </w:t>
            </w:r>
            <w:r>
              <w:rPr>
                <w:i/>
                <w:iCs/>
              </w:rPr>
              <w:t>Textiles— Determination of pH of aqueous extract</w:t>
            </w:r>
          </w:p>
          <w:p w14:paraId="7D9923A5">
            <w:pPr>
              <w:spacing w:before="120" w:after="120"/>
            </w:pPr>
            <w:r>
              <w:t>ISO 13934-1,</w:t>
            </w:r>
            <w:r>
              <w:rPr>
                <w:i/>
                <w:iCs/>
              </w:rPr>
              <w:t>Textiles — Tensile propertiesof fabrics — Part 1: Determination of maximum force and elongation at maximum forceusing the strip method</w:t>
            </w:r>
          </w:p>
          <w:p w14:paraId="66237C7E">
            <w:pPr>
              <w:spacing w:before="120" w:after="120"/>
            </w:pPr>
            <w:r>
              <w:t>ARS 1599,</w:t>
            </w:r>
            <w:r>
              <w:rPr>
                <w:i/>
                <w:iCs/>
              </w:rPr>
              <w:t xml:space="preserve"> Code of practice for Garment Manufacturers</w:t>
            </w:r>
          </w:p>
          <w:p w14:paraId="3D9B4AAA">
            <w:pPr>
              <w:spacing w:before="120" w:after="120"/>
            </w:pPr>
            <w:r>
              <w:t xml:space="preserve">ISO 21149, ISO 187, </w:t>
            </w:r>
            <w:r>
              <w:rPr>
                <w:i/>
                <w:iCs/>
              </w:rPr>
              <w:t>Paper, board and pulps — Standard atmospherefor conditioning and testing and procedure for monitoring the atmosphere and conditioning of samples</w:t>
            </w:r>
          </w:p>
          <w:p w14:paraId="2753EA7D">
            <w:pPr>
              <w:spacing w:before="120" w:after="120"/>
            </w:pPr>
            <w:r>
              <w:t xml:space="preserve">ISO 3071, </w:t>
            </w:r>
            <w:r>
              <w:rPr>
                <w:i/>
                <w:iCs/>
              </w:rPr>
              <w:t>Textiles— Determination of pH of aqueous extract</w:t>
            </w:r>
          </w:p>
          <w:p w14:paraId="4AADEA2B">
            <w:pPr>
              <w:spacing w:before="120" w:after="120"/>
            </w:pPr>
            <w:r>
              <w:t>ISO 13934-1,</w:t>
            </w:r>
            <w:r>
              <w:rPr>
                <w:i/>
                <w:iCs/>
              </w:rPr>
              <w:t>Textiles — Tensile propertiesof fabrics — Part 1: Determination of maximum force and elongation at maximum forceusing the strip method</w:t>
            </w:r>
          </w:p>
          <w:p w14:paraId="42BA3155">
            <w:pPr>
              <w:spacing w:before="120" w:after="120"/>
            </w:pPr>
            <w:r>
              <w:t>ARS 1599,</w:t>
            </w:r>
            <w:r>
              <w:rPr>
                <w:i/>
                <w:iCs/>
              </w:rPr>
              <w:t xml:space="preserve"> Code of practice for Garment Manufacturers</w:t>
            </w:r>
          </w:p>
          <w:p w14:paraId="21B74222">
            <w:pPr>
              <w:spacing w:before="120" w:after="120"/>
            </w:pPr>
            <w:r>
              <w:t>ISO 21149, Cosmetics- Microbiology- enumeration and detection of aerobic mesophilic bacteria</w:t>
            </w:r>
          </w:p>
          <w:p w14:paraId="7A752E6F">
            <w:pPr>
              <w:spacing w:before="120" w:after="120"/>
            </w:pPr>
            <w:r>
              <w:t xml:space="preserve">ISO 18416, Cosmetics- Microbiology, detection of </w:t>
            </w:r>
            <w:r>
              <w:rPr>
                <w:i/>
                <w:iCs/>
              </w:rPr>
              <w:t xml:space="preserve">candidar albicanc </w:t>
            </w:r>
          </w:p>
          <w:p w14:paraId="69E6C617">
            <w:pPr>
              <w:spacing w:before="120" w:after="120"/>
            </w:pPr>
            <w:r>
              <w:t>ISO 22718, Cosmetics- Microbiology- Detection of staphylococcus aureus</w:t>
            </w:r>
          </w:p>
          <w:p w14:paraId="7DF06D62">
            <w:pPr>
              <w:spacing w:before="120" w:after="120"/>
            </w:pPr>
            <w:r>
              <w:t>ISO 21150, Cosmetics- Microbiology- Detection of escherichia coli</w:t>
            </w:r>
          </w:p>
          <w:p w14:paraId="73AF66CC">
            <w:pPr>
              <w:spacing w:before="120" w:after="120"/>
            </w:pPr>
            <w:r>
              <w:rPr>
                <w:lang w:val="es-ES"/>
              </w:rPr>
              <w:t>ISO 22717, Cosmetics- Microbiology- pseudomonas aeruginosa</w:t>
            </w:r>
          </w:p>
        </w:tc>
      </w:tr>
      <w:tr w14:paraId="3F4D1EE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038292C3">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0F71F986">
            <w:pPr>
              <w:spacing w:before="120" w:after="120"/>
            </w:pPr>
            <w:bookmarkStart w:id="22" w:name="sps11b"/>
            <w:bookmarkEnd w:id="22"/>
            <w:r>
              <w:rPr>
                <w:b/>
              </w:rPr>
              <w:t>Proposed date of adoption:</w:t>
            </w:r>
            <w:r>
              <w:t xml:space="preserve"> To be determined</w:t>
            </w:r>
          </w:p>
          <w:p w14:paraId="33FBE297">
            <w:pPr>
              <w:spacing w:after="120"/>
            </w:pPr>
            <w:r>
              <w:rPr>
                <w:b/>
              </w:rPr>
              <w:t>Proposed date of entry into force:</w:t>
            </w:r>
            <w:r>
              <w:t xml:space="preserve"> To be determined</w:t>
            </w:r>
          </w:p>
        </w:tc>
      </w:tr>
      <w:tr w14:paraId="6E0AF4A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CA88F18">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029610DB">
            <w:pPr>
              <w:spacing w:before="120" w:after="120"/>
              <w:rPr>
                <w:rFonts w:hint="eastAsia" w:eastAsia="宋体"/>
                <w:lang w:eastAsia="zh-CN"/>
              </w:rPr>
            </w:pPr>
            <w:bookmarkStart w:id="23" w:name="X_TBT_Reg_10A"/>
            <w:r>
              <w:rPr>
                <w:b/>
              </w:rPr>
              <w:t>Final date for comments</w:t>
            </w:r>
            <w:bookmarkEnd w:id="23"/>
            <w:r>
              <w:rPr>
                <w:b/>
              </w:rPr>
              <w:t>:</w:t>
            </w:r>
            <w:r>
              <w:t xml:space="preserve"> 22 September 2025</w:t>
            </w:r>
            <w:r>
              <w:rPr>
                <w:rFonts w:hint="eastAsia" w:eastAsia="宋体"/>
                <w:lang w:eastAsia="zh-CN"/>
              </w:rPr>
              <w:t>；</w:t>
            </w:r>
          </w:p>
          <w:p w14:paraId="0AC9406F">
            <w:pPr>
              <w:spacing w:before="120" w:after="120"/>
            </w:pPr>
            <w:r>
              <w:rPr>
                <w:b/>
                <w:bCs/>
              </w:rPr>
              <w:t>Contact details of agency or authority designated to handle comments regarding the notification:</w:t>
            </w:r>
            <w:r>
              <w:t xml:space="preserve"> </w:t>
            </w:r>
          </w:p>
          <w:p w14:paraId="65B9920D">
            <w:pPr>
              <w:tabs>
                <w:tab w:val="left" w:pos="1418"/>
                <w:tab w:val="left" w:pos="2127"/>
                <w:tab w:val="left" w:pos="2835"/>
                <w:tab w:val="left" w:pos="3402"/>
              </w:tabs>
            </w:pPr>
            <w:r>
              <w:t>Eswatini Standards Authority</w:t>
            </w:r>
          </w:p>
          <w:p w14:paraId="1B24F19D">
            <w:pPr>
              <w:tabs>
                <w:tab w:val="left" w:pos="1418"/>
                <w:tab w:val="left" w:pos="2127"/>
                <w:tab w:val="left" w:pos="2835"/>
                <w:tab w:val="left" w:pos="3402"/>
              </w:tabs>
            </w:pPr>
            <w:r>
              <w:t>Marbel construction, plot 247, King Mswati 111 Ave west</w:t>
            </w:r>
          </w:p>
          <w:p w14:paraId="7355D54B">
            <w:pPr>
              <w:tabs>
                <w:tab w:val="left" w:pos="1418"/>
                <w:tab w:val="left" w:pos="2127"/>
                <w:tab w:val="left" w:pos="2835"/>
                <w:tab w:val="left" w:pos="3402"/>
              </w:tabs>
            </w:pPr>
            <w:r>
              <w:t>PO Box 1399</w:t>
            </w:r>
          </w:p>
          <w:p w14:paraId="3EE4A677">
            <w:pPr>
              <w:tabs>
                <w:tab w:val="left" w:pos="1418"/>
                <w:tab w:val="left" w:pos="2127"/>
                <w:tab w:val="left" w:pos="2835"/>
                <w:tab w:val="left" w:pos="3402"/>
              </w:tabs>
            </w:pPr>
            <w:r>
              <w:t>Matsapha</w:t>
            </w:r>
          </w:p>
          <w:p w14:paraId="64D305C2">
            <w:pPr>
              <w:tabs>
                <w:tab w:val="left" w:pos="1418"/>
                <w:tab w:val="left" w:pos="2127"/>
                <w:tab w:val="left" w:pos="2835"/>
                <w:tab w:val="left" w:pos="3402"/>
              </w:tabs>
            </w:pPr>
            <w:r>
              <w:t>+26825184610</w:t>
            </w:r>
            <w:bookmarkStart w:id="39" w:name="_GoBack"/>
            <w:bookmarkEnd w:id="39"/>
          </w:p>
          <w:p w14:paraId="0E90DE36">
            <w:pPr>
              <w:tabs>
                <w:tab w:val="left" w:pos="1418"/>
                <w:tab w:val="left" w:pos="2127"/>
                <w:tab w:val="left" w:pos="2835"/>
                <w:tab w:val="left" w:pos="3402"/>
              </w:tabs>
            </w:pPr>
            <w:r>
              <w:fldChar w:fldCharType="begin"/>
            </w:r>
            <w:r>
              <w:instrText xml:space="preserve"> HYPERLINK "mailto:info@swasa.co.sz" </w:instrText>
            </w:r>
            <w:r>
              <w:fldChar w:fldCharType="separate"/>
            </w:r>
            <w:r>
              <w:rPr>
                <w:color w:val="0000FF"/>
                <w:u w:val="single"/>
              </w:rPr>
              <w:t>info@swasa.co.sz</w:t>
            </w:r>
            <w:r>
              <w:rPr>
                <w:color w:val="0000FF"/>
                <w:u w:val="single"/>
              </w:rPr>
              <w:fldChar w:fldCharType="end"/>
            </w:r>
          </w:p>
          <w:p w14:paraId="66A98552">
            <w:pPr>
              <w:tabs>
                <w:tab w:val="left" w:pos="1418"/>
                <w:tab w:val="left" w:pos="2127"/>
                <w:tab w:val="left" w:pos="2835"/>
                <w:tab w:val="left" w:pos="3402"/>
              </w:tabs>
            </w:pPr>
            <w:r>
              <w:fldChar w:fldCharType="begin"/>
            </w:r>
            <w:r>
              <w:instrText xml:space="preserve"> HYPERLINK "http://www.swasa.co.sz" </w:instrText>
            </w:r>
            <w:r>
              <w:fldChar w:fldCharType="separate"/>
            </w:r>
            <w:r>
              <w:rPr>
                <w:rStyle w:val="242"/>
              </w:rPr>
              <w:t>www.swasa.co.sz</w:t>
            </w:r>
            <w:r>
              <w:rPr>
                <w:rStyle w:val="242"/>
              </w:rPr>
              <w:fldChar w:fldCharType="end"/>
            </w:r>
          </w:p>
          <w:p w14:paraId="67555632">
            <w:pPr>
              <w:spacing w:before="120" w:after="120"/>
              <w:rPr>
                <w:rFonts w:hint="eastAsia" w:eastAsia="宋体"/>
                <w:lang w:eastAsia="zh-CN"/>
              </w:rPr>
            </w:pPr>
          </w:p>
        </w:tc>
      </w:tr>
      <w:tr w14:paraId="49E4E7D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35584AAA">
            <w:pPr>
              <w:keepNext/>
              <w:keepLines/>
              <w:spacing w:before="120" w:after="120"/>
              <w:jc w:val="left"/>
              <w:rPr>
                <w:b/>
              </w:rPr>
            </w:pPr>
            <w:r>
              <w:rPr>
                <w:b/>
              </w:rPr>
              <w:t>11.</w:t>
            </w:r>
          </w:p>
        </w:tc>
        <w:tc>
          <w:tcPr>
            <w:tcW w:w="8546" w:type="dxa"/>
            <w:tcBorders>
              <w:top w:val="single" w:color="auto" w:sz="6" w:space="0"/>
            </w:tcBorders>
            <w:shd w:val="clear" w:color="auto" w:fill="auto"/>
          </w:tcPr>
          <w:p w14:paraId="173524D1">
            <w:pPr>
              <w:keepNext/>
              <w:keepLines/>
              <w:spacing w:before="120" w:after="120"/>
              <w:rPr>
                <w:bCs/>
              </w:rPr>
            </w:pPr>
            <w:bookmarkStart w:id="24" w:name="X_TBT_Reg_11A"/>
            <w:r>
              <w:rPr>
                <w:b/>
              </w:rPr>
              <w:t>Texts available from: National enquiry point</w:t>
            </w:r>
            <w:bookmarkEnd w:id="24"/>
            <w:r>
              <w:rPr>
                <w:b/>
              </w:rPr>
              <w:t xml:space="preserve"> [</w:t>
            </w:r>
            <w:bookmarkStart w:id="25" w:name="sps13b"/>
            <w:r>
              <w:rPr>
                <w:b/>
              </w:rPr>
              <w:t>X</w:t>
            </w:r>
            <w:bookmarkEnd w:id="25"/>
            <w:r>
              <w:rPr>
                <w:b/>
              </w:rPr>
              <w:t xml:space="preserve">] </w:t>
            </w:r>
            <w:bookmarkStart w:id="26" w:name="X_TBT_Reg_11B"/>
            <w:r>
              <w:rPr>
                <w:b/>
              </w:rPr>
              <w:t>or address, telephone and fax numbers and email and website addresses, if available, of other body</w:t>
            </w:r>
            <w:bookmarkEnd w:id="26"/>
            <w:r>
              <w:rPr>
                <w:b/>
              </w:rPr>
              <w:t>:</w:t>
            </w:r>
            <w:r>
              <w:rPr>
                <w:bCs/>
              </w:rPr>
              <w:t xml:space="preserve"> </w:t>
            </w:r>
            <w:bookmarkStart w:id="27" w:name="sps13c"/>
          </w:p>
          <w:p w14:paraId="6AA77275">
            <w:pPr>
              <w:keepNext/>
              <w:keepLines/>
              <w:spacing w:before="120" w:after="120"/>
              <w:rPr>
                <w:bCs/>
              </w:rPr>
            </w:pPr>
            <w:r>
              <w:rPr>
                <w:iCs/>
              </w:rPr>
              <w:t>www.swasa.co.sz</w:t>
            </w:r>
          </w:p>
          <w:bookmarkEnd w:id="27"/>
          <w:p w14:paraId="697DD371">
            <w:pPr>
              <w:pBdr>
                <w:top w:val="none" w:color="auto" w:sz="0" w:space="4"/>
                <w:bottom w:val="none" w:color="auto" w:sz="0" w:space="4"/>
              </w:pBdr>
              <w:rPr>
                <w:iCs/>
              </w:rPr>
            </w:pPr>
            <w:r>
              <w:fldChar w:fldCharType="begin"/>
            </w:r>
            <w:r>
              <w:instrText xml:space="preserve"> HYPERLINK "https://members.wto.org/crnattachments/2025/TBT/SWZ/25_05209_00_e.pdf" \t "_blank" </w:instrText>
            </w:r>
            <w:r>
              <w:fldChar w:fldCharType="separate"/>
            </w:r>
            <w:r>
              <w:rPr>
                <w:iCs/>
                <w:color w:val="0000FF"/>
                <w:u w:val="single"/>
              </w:rPr>
              <w:t>https://members.wto.org/crnattachments/2025/TBT/SWZ/25_05209_00_e.pdf</w:t>
            </w:r>
            <w:r>
              <w:rPr>
                <w:iCs/>
                <w:color w:val="0000FF"/>
                <w:u w:val="single"/>
              </w:rPr>
              <w:fldChar w:fldCharType="end"/>
            </w:r>
          </w:p>
          <w:p w14:paraId="496C862B">
            <w:pPr>
              <w:pBdr>
                <w:top w:val="none" w:color="auto" w:sz="0" w:space="4"/>
                <w:bottom w:val="none" w:color="auto" w:sz="0" w:space="4"/>
              </w:pBdr>
              <w:rPr>
                <w:bCs/>
              </w:rPr>
            </w:pPr>
          </w:p>
        </w:tc>
      </w:tr>
    </w:tbl>
    <w:p w14:paraId="21AEAB3E"/>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5C88B">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80523">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9104E">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8FBB8">
    <w:pPr>
      <w:pStyle w:val="58"/>
      <w:pBdr>
        <w:bottom w:val="single" w:color="auto" w:sz="4" w:space="1"/>
      </w:pBdr>
      <w:tabs>
        <w:tab w:val="clear" w:pos="4513"/>
        <w:tab w:val="clear" w:pos="9027"/>
      </w:tabs>
      <w:jc w:val="center"/>
    </w:pPr>
    <w:bookmarkStart w:id="38" w:name="spsSymbolHeader"/>
    <w:r>
      <w:t>G/TBT/N/SWZ/39</w:t>
    </w:r>
    <w:bookmarkEnd w:id="38"/>
  </w:p>
  <w:p w14:paraId="706D7EFC">
    <w:pPr>
      <w:pStyle w:val="58"/>
      <w:pBdr>
        <w:bottom w:val="single" w:color="auto" w:sz="4" w:space="1"/>
      </w:pBdr>
      <w:tabs>
        <w:tab w:val="clear" w:pos="4513"/>
        <w:tab w:val="clear" w:pos="9027"/>
      </w:tabs>
      <w:jc w:val="center"/>
    </w:pPr>
  </w:p>
  <w:p w14:paraId="33AD6BC7">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F0C903B">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1B572">
    <w:pPr>
      <w:pStyle w:val="58"/>
      <w:pBdr>
        <w:bottom w:val="single" w:color="auto" w:sz="4" w:space="1"/>
      </w:pBdr>
      <w:tabs>
        <w:tab w:val="clear" w:pos="4513"/>
        <w:tab w:val="clear" w:pos="9027"/>
      </w:tabs>
      <w:jc w:val="center"/>
    </w:pPr>
    <w:r>
      <w:t>tbtSymbol</w:t>
    </w:r>
  </w:p>
  <w:p w14:paraId="6E6A88B0">
    <w:pPr>
      <w:pStyle w:val="58"/>
      <w:pBdr>
        <w:bottom w:val="single" w:color="auto" w:sz="4" w:space="1"/>
      </w:pBdr>
      <w:tabs>
        <w:tab w:val="clear" w:pos="4513"/>
        <w:tab w:val="clear" w:pos="9027"/>
      </w:tabs>
      <w:jc w:val="center"/>
    </w:pPr>
  </w:p>
  <w:p w14:paraId="080AC39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FFD86C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C5ED2FD">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7454937">
          <w:pPr>
            <w:rPr>
              <w:lang w:eastAsia="en-GB"/>
            </w:rPr>
          </w:pPr>
          <w:bookmarkStart w:id="28" w:name="bmkRestricted" w:colFirst="1" w:colLast="1"/>
        </w:p>
      </w:tc>
      <w:tc>
        <w:tcPr>
          <w:tcW w:w="5448" w:type="dxa"/>
          <w:gridSpan w:val="2"/>
          <w:shd w:val="clear" w:color="auto" w:fill="FFFFFF"/>
          <w:tcMar>
            <w:left w:w="108" w:type="dxa"/>
            <w:right w:w="108" w:type="dxa"/>
          </w:tcMar>
          <w:vAlign w:val="center"/>
        </w:tcPr>
        <w:p w14:paraId="3816C3B5">
          <w:pPr>
            <w:jc w:val="right"/>
            <w:rPr>
              <w:b/>
              <w:color w:val="FF0000"/>
              <w:szCs w:val="16"/>
            </w:rPr>
          </w:pPr>
        </w:p>
      </w:tc>
    </w:tr>
    <w:bookmarkEnd w:id="28"/>
    <w:tr w14:paraId="2DD0150F">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CD124C1">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3E7BC8B8">
          <w:pPr>
            <w:jc w:val="right"/>
            <w:rPr>
              <w:b/>
              <w:szCs w:val="16"/>
            </w:rPr>
          </w:pPr>
        </w:p>
      </w:tc>
    </w:tr>
    <w:tr w14:paraId="1C20EC09">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2C4AE9A">
          <w:pPr>
            <w:jc w:val="left"/>
            <w:rPr>
              <w:lang w:eastAsia="en-GB"/>
            </w:rPr>
          </w:pPr>
        </w:p>
      </w:tc>
      <w:tc>
        <w:tcPr>
          <w:tcW w:w="5448" w:type="dxa"/>
          <w:gridSpan w:val="2"/>
          <w:shd w:val="clear" w:color="auto" w:fill="FFFFFF"/>
          <w:tcMar>
            <w:left w:w="108" w:type="dxa"/>
            <w:right w:w="108" w:type="dxa"/>
          </w:tcMar>
        </w:tcPr>
        <w:p w14:paraId="6E6B0EBA">
          <w:pPr>
            <w:jc w:val="right"/>
            <w:rPr>
              <w:rFonts w:hint="default" w:eastAsia="宋体"/>
              <w:b/>
              <w:szCs w:val="16"/>
              <w:lang w:val="en-US" w:eastAsia="zh-CN"/>
            </w:rPr>
          </w:pPr>
          <w:bookmarkStart w:id="29" w:name="bmkSymbols"/>
          <w:r>
            <w:rPr>
              <w:b/>
              <w:szCs w:val="16"/>
            </w:rPr>
            <w:t>G/TBT/N/SWZ/</w:t>
          </w:r>
          <w:bookmarkEnd w:id="29"/>
          <w:r>
            <w:rPr>
              <w:rFonts w:hint="eastAsia" w:eastAsia="宋体"/>
              <w:b/>
              <w:szCs w:val="16"/>
              <w:lang w:val="en-US" w:eastAsia="zh-CN"/>
            </w:rPr>
            <w:t>41</w:t>
          </w:r>
        </w:p>
      </w:tc>
    </w:tr>
    <w:tr w14:paraId="3E8C6800">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360BCF7D"/>
      </w:tc>
      <w:tc>
        <w:tcPr>
          <w:tcW w:w="5448" w:type="dxa"/>
          <w:gridSpan w:val="2"/>
          <w:shd w:val="clear" w:color="auto" w:fill="FFFFFF"/>
          <w:tcMar>
            <w:left w:w="108" w:type="dxa"/>
            <w:right w:w="108" w:type="dxa"/>
          </w:tcMar>
          <w:vAlign w:val="center"/>
        </w:tcPr>
        <w:p w14:paraId="7E23CD6A">
          <w:pPr>
            <w:jc w:val="right"/>
            <w:rPr>
              <w:rFonts w:hint="eastAsia" w:eastAsia="宋体"/>
              <w:szCs w:val="16"/>
              <w:lang w:eastAsia="zh-CN"/>
            </w:rPr>
          </w:pPr>
          <w:bookmarkStart w:id="30" w:name="bmkDate"/>
          <w:bookmarkEnd w:id="30"/>
          <w:bookmarkStart w:id="31" w:name="spsDateDistribution"/>
          <w:bookmarkEnd w:id="31"/>
          <w:r>
            <w:rPr>
              <w:szCs w:val="16"/>
            </w:rPr>
            <w:t>7 August 202</w:t>
          </w:r>
          <w:r>
            <w:rPr>
              <w:rFonts w:hint="eastAsia" w:eastAsia="宋体"/>
              <w:szCs w:val="16"/>
              <w:lang w:val="en-US" w:eastAsia="zh-CN"/>
            </w:rPr>
            <w:t>5</w:t>
          </w:r>
        </w:p>
      </w:tc>
    </w:tr>
    <w:tr w14:paraId="60BD014C">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B7E91A8">
          <w:pPr>
            <w:jc w:val="left"/>
            <w:rPr>
              <w:b/>
            </w:rPr>
          </w:pPr>
          <w:bookmarkStart w:id="32" w:name="bmkSerial"/>
          <w:r>
            <w:rPr>
              <w:color w:val="FF0000"/>
              <w:szCs w:val="16"/>
            </w:rPr>
            <w:t>(</w:t>
          </w:r>
          <w:bookmarkStart w:id="33" w:name="spsSerialNumber"/>
          <w:bookmarkEnd w:id="33"/>
          <w:r>
            <w:rPr>
              <w:color w:val="FF0000"/>
              <w:szCs w:val="16"/>
            </w:rPr>
            <w:t>2</w:t>
          </w:r>
          <w:r>
            <w:rPr>
              <w:rFonts w:hint="eastAsia" w:eastAsia="宋体"/>
              <w:color w:val="FF0000"/>
              <w:szCs w:val="16"/>
              <w:lang w:val="en-US" w:eastAsia="zh-CN"/>
            </w:rPr>
            <w:t>5</w:t>
          </w:r>
          <w:r>
            <w:rPr>
              <w:color w:val="FF0000"/>
              <w:szCs w:val="16"/>
            </w:rPr>
            <w:t>-</w:t>
          </w:r>
          <w:r>
            <w:rPr>
              <w:rFonts w:hint="eastAsia" w:eastAsia="宋体"/>
              <w:color w:val="FF0000"/>
              <w:szCs w:val="16"/>
              <w:lang w:val="en-US" w:eastAsia="zh-CN"/>
            </w:rPr>
            <w:t>5030</w:t>
          </w:r>
          <w:r>
            <w:rPr>
              <w:color w:val="FF0000"/>
              <w:szCs w:val="16"/>
            </w:rPr>
            <w:t>)</w:t>
          </w:r>
          <w:bookmarkEnd w:id="32"/>
        </w:p>
      </w:tc>
      <w:tc>
        <w:tcPr>
          <w:tcW w:w="3325" w:type="dxa"/>
          <w:tcBorders>
            <w:bottom w:val="single" w:color="auto" w:sz="4" w:space="0"/>
          </w:tcBorders>
          <w:tcMar>
            <w:top w:w="0" w:type="dxa"/>
            <w:left w:w="108" w:type="dxa"/>
            <w:bottom w:w="57" w:type="dxa"/>
            <w:right w:w="108" w:type="dxa"/>
          </w:tcMar>
          <w:vAlign w:val="bottom"/>
        </w:tcPr>
        <w:p w14:paraId="31A6A2B7">
          <w:pPr>
            <w:jc w:val="right"/>
            <w:rPr>
              <w:szCs w:val="16"/>
            </w:rPr>
          </w:pPr>
          <w:bookmarkStart w:id="34"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bCs/>
              <w:szCs w:val="16"/>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bCs/>
              <w:szCs w:val="16"/>
            </w:rPr>
            <w:t>1</w:t>
          </w:r>
          <w:r>
            <w:rPr>
              <w:bCs/>
              <w:szCs w:val="16"/>
            </w:rPr>
            <w:fldChar w:fldCharType="end"/>
          </w:r>
          <w:bookmarkEnd w:id="34"/>
        </w:p>
      </w:tc>
    </w:tr>
    <w:tr w14:paraId="214B3942">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4DE7B100">
          <w:pPr>
            <w:jc w:val="left"/>
            <w:rPr>
              <w:sz w:val="14"/>
              <w:szCs w:val="16"/>
            </w:rPr>
          </w:pPr>
          <w:bookmarkStart w:id="35" w:name="bmkCommittee"/>
          <w:r>
            <w:rPr>
              <w:b/>
            </w:rPr>
            <w:t>Committee on Technical Barriers to Trade</w:t>
          </w:r>
          <w:bookmarkEnd w:id="35"/>
        </w:p>
      </w:tc>
      <w:tc>
        <w:tcPr>
          <w:tcW w:w="3325" w:type="dxa"/>
          <w:tcBorders>
            <w:top w:val="single" w:color="auto" w:sz="4" w:space="0"/>
          </w:tcBorders>
          <w:tcMar>
            <w:top w:w="113" w:type="dxa"/>
            <w:left w:w="108" w:type="dxa"/>
            <w:bottom w:w="57" w:type="dxa"/>
            <w:right w:w="108" w:type="dxa"/>
          </w:tcMar>
          <w:vAlign w:val="center"/>
        </w:tcPr>
        <w:p w14:paraId="4C7E3886">
          <w:pPr>
            <w:jc w:val="right"/>
            <w:rPr>
              <w:bCs/>
              <w:szCs w:val="18"/>
            </w:rPr>
          </w:pPr>
          <w:bookmarkStart w:id="36" w:name="bmkLanguage"/>
          <w:r>
            <w:rPr>
              <w:bCs/>
              <w:szCs w:val="18"/>
            </w:rPr>
            <w:t xml:space="preserve">Original: </w:t>
          </w:r>
          <w:bookmarkStart w:id="37" w:name="spsOriginalLanguage"/>
          <w:r>
            <w:rPr>
              <w:bCs/>
              <w:szCs w:val="18"/>
            </w:rPr>
            <w:t>English</w:t>
          </w:r>
          <w:bookmarkEnd w:id="36"/>
          <w:bookmarkEnd w:id="37"/>
        </w:p>
      </w:tc>
    </w:tr>
  </w:tbl>
  <w:p w14:paraId="5DE064E1">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3A74"/>
    <w:rsid w:val="005C5BA4"/>
    <w:rsid w:val="005D5981"/>
    <w:rsid w:val="005F1010"/>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B490C"/>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27B9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22E59"/>
    <w:rsid w:val="00D32587"/>
    <w:rsid w:val="00D428FA"/>
    <w:rsid w:val="00D52A9D"/>
    <w:rsid w:val="00D55AAD"/>
    <w:rsid w:val="00D70F5B"/>
    <w:rsid w:val="00D747AE"/>
    <w:rsid w:val="00D9226C"/>
    <w:rsid w:val="00DA20BD"/>
    <w:rsid w:val="00DC7DAE"/>
    <w:rsid w:val="00DE50DB"/>
    <w:rsid w:val="00DF6AE1"/>
    <w:rsid w:val="00E147CB"/>
    <w:rsid w:val="00E20B42"/>
    <w:rsid w:val="00E25473"/>
    <w:rsid w:val="00E30FFD"/>
    <w:rsid w:val="00E40A6B"/>
    <w:rsid w:val="00E46FD5"/>
    <w:rsid w:val="00E544BB"/>
    <w:rsid w:val="00E56545"/>
    <w:rsid w:val="00E63AC7"/>
    <w:rsid w:val="00E67CF3"/>
    <w:rsid w:val="00E73D09"/>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463D551C"/>
    <w:rsid w:val="4DE655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Titre 1 Car"/>
    <w:link w:val="3"/>
    <w:qFormat/>
    <w:uiPriority w:val="2"/>
    <w:rPr>
      <w:rFonts w:ascii="Verdana" w:hAnsi="Verdana" w:eastAsia="Times New Roman"/>
      <w:b/>
      <w:bCs/>
      <w:caps/>
      <w:color w:val="006283"/>
      <w:sz w:val="18"/>
      <w:szCs w:val="28"/>
      <w:lang w:val="en-GB"/>
    </w:rPr>
  </w:style>
  <w:style w:type="character" w:customStyle="1" w:styleId="250">
    <w:name w:val="Titre 2 Car"/>
    <w:link w:val="4"/>
    <w:qFormat/>
    <w:uiPriority w:val="2"/>
    <w:rPr>
      <w:rFonts w:ascii="Verdana" w:hAnsi="Verdana" w:eastAsia="Times New Roman"/>
      <w:b/>
      <w:bCs/>
      <w:color w:val="006283"/>
      <w:sz w:val="18"/>
      <w:szCs w:val="26"/>
      <w:lang w:val="en-GB"/>
    </w:rPr>
  </w:style>
  <w:style w:type="character" w:customStyle="1" w:styleId="251">
    <w:name w:val="Titre 3 Car"/>
    <w:link w:val="5"/>
    <w:qFormat/>
    <w:uiPriority w:val="2"/>
    <w:rPr>
      <w:rFonts w:ascii="Verdana" w:hAnsi="Verdana" w:eastAsia="Times New Roman"/>
      <w:b/>
      <w:bCs/>
      <w:color w:val="006283"/>
      <w:sz w:val="18"/>
      <w:szCs w:val="22"/>
      <w:lang w:val="en-GB"/>
    </w:rPr>
  </w:style>
  <w:style w:type="character" w:customStyle="1" w:styleId="252">
    <w:name w:val="Titre 4 Car"/>
    <w:link w:val="6"/>
    <w:qFormat/>
    <w:uiPriority w:val="2"/>
    <w:rPr>
      <w:rFonts w:ascii="Verdana" w:hAnsi="Verdana" w:eastAsia="Times New Roman"/>
      <w:b/>
      <w:bCs/>
      <w:iCs/>
      <w:color w:val="006283"/>
      <w:sz w:val="18"/>
      <w:szCs w:val="22"/>
      <w:lang w:val="en-GB"/>
    </w:rPr>
  </w:style>
  <w:style w:type="character" w:customStyle="1" w:styleId="253">
    <w:name w:val="Titre 5 Car"/>
    <w:link w:val="7"/>
    <w:qFormat/>
    <w:uiPriority w:val="2"/>
    <w:rPr>
      <w:rFonts w:ascii="Verdana" w:hAnsi="Verdana" w:eastAsia="Times New Roman"/>
      <w:b/>
      <w:color w:val="006283"/>
      <w:sz w:val="18"/>
      <w:szCs w:val="22"/>
      <w:lang w:val="en-GB"/>
    </w:rPr>
  </w:style>
  <w:style w:type="character" w:customStyle="1" w:styleId="254">
    <w:name w:val="Titre 6 Car"/>
    <w:link w:val="8"/>
    <w:qFormat/>
    <w:uiPriority w:val="2"/>
    <w:rPr>
      <w:rFonts w:ascii="Verdana" w:hAnsi="Verdana" w:eastAsia="Times New Roman"/>
      <w:b/>
      <w:iCs/>
      <w:color w:val="006283"/>
      <w:sz w:val="18"/>
      <w:szCs w:val="22"/>
      <w:lang w:val="en-GB"/>
    </w:rPr>
  </w:style>
  <w:style w:type="character" w:customStyle="1" w:styleId="255">
    <w:name w:val="Titre 7 Car"/>
    <w:link w:val="10"/>
    <w:qFormat/>
    <w:uiPriority w:val="2"/>
    <w:rPr>
      <w:rFonts w:ascii="Verdana" w:hAnsi="Verdana" w:eastAsia="Times New Roman"/>
      <w:b/>
      <w:iCs/>
      <w:color w:val="006283"/>
      <w:sz w:val="18"/>
      <w:szCs w:val="22"/>
      <w:lang w:val="en-GB"/>
    </w:rPr>
  </w:style>
  <w:style w:type="character" w:customStyle="1" w:styleId="256">
    <w:name w:val="Titre 8 Car"/>
    <w:link w:val="11"/>
    <w:qFormat/>
    <w:uiPriority w:val="2"/>
    <w:rPr>
      <w:rFonts w:ascii="Verdana" w:hAnsi="Verdana" w:eastAsia="Times New Roman"/>
      <w:b/>
      <w:i/>
      <w:color w:val="006283"/>
      <w:sz w:val="18"/>
      <w:lang w:val="en-GB"/>
    </w:rPr>
  </w:style>
  <w:style w:type="character" w:customStyle="1" w:styleId="257">
    <w:name w:val="Titre 9 Car"/>
    <w:link w:val="12"/>
    <w:qFormat/>
    <w:uiPriority w:val="2"/>
    <w:rPr>
      <w:rFonts w:ascii="Verdana" w:hAnsi="Verdana" w:eastAsia="Times New Roman"/>
      <w:b/>
      <w:iCs/>
      <w:color w:val="006283"/>
      <w:sz w:val="18"/>
      <w:u w:val="single"/>
      <w:lang w:val="en-GB"/>
    </w:rPr>
  </w:style>
  <w:style w:type="character" w:customStyle="1" w:styleId="258">
    <w:name w:val="Titre Car"/>
    <w:link w:val="84"/>
    <w:qFormat/>
    <w:uiPriority w:val="5"/>
    <w:rPr>
      <w:rFonts w:ascii="Verdana" w:hAnsi="Verdana" w:eastAsia="Times New Roman"/>
      <w:b/>
      <w:caps/>
      <w:color w:val="006283"/>
      <w:kern w:val="28"/>
      <w:sz w:val="18"/>
      <w:szCs w:val="52"/>
      <w:lang w:val="en-GB"/>
    </w:rPr>
  </w:style>
  <w:style w:type="character" w:customStyle="1" w:styleId="259">
    <w:name w:val="Corps de texte Car"/>
    <w:link w:val="9"/>
    <w:qFormat/>
    <w:uiPriority w:val="1"/>
    <w:rPr>
      <w:rFonts w:ascii="Verdana" w:hAnsi="Verdana"/>
      <w:sz w:val="18"/>
      <w:szCs w:val="22"/>
      <w:lang w:val="en-GB"/>
    </w:rPr>
  </w:style>
  <w:style w:type="character" w:customStyle="1" w:styleId="260">
    <w:name w:val="Corps de texte 2 Car"/>
    <w:link w:val="76"/>
    <w:qFormat/>
    <w:uiPriority w:val="1"/>
    <w:rPr>
      <w:rFonts w:ascii="Verdana" w:hAnsi="Verdana"/>
      <w:sz w:val="18"/>
      <w:szCs w:val="22"/>
      <w:lang w:val="en-GB"/>
    </w:rPr>
  </w:style>
  <w:style w:type="character" w:customStyle="1" w:styleId="261">
    <w:name w:val="Corps de texte 3 C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Note de bas de page Car"/>
    <w:link w:val="53"/>
    <w:qFormat/>
    <w:uiPriority w:val="5"/>
    <w:rPr>
      <w:rFonts w:ascii="Verdana" w:hAnsi="Verdana"/>
      <w:sz w:val="16"/>
      <w:szCs w:val="18"/>
      <w:lang w:val="en-GB" w:eastAsia="en-GB"/>
    </w:rPr>
  </w:style>
  <w:style w:type="character" w:customStyle="1" w:styleId="265">
    <w:name w:val="Note de fin C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Pied de page C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En-tête C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Texte de bulles Car"/>
    <w:link w:val="55"/>
    <w:semiHidden/>
    <w:qFormat/>
    <w:uiPriority w:val="99"/>
    <w:rPr>
      <w:rFonts w:ascii="Tahoma" w:hAnsi="Tahoma" w:cs="Tahoma"/>
      <w:sz w:val="16"/>
      <w:szCs w:val="16"/>
      <w:lang w:val="en-GB"/>
    </w:rPr>
  </w:style>
  <w:style w:type="character" w:customStyle="1" w:styleId="279">
    <w:name w:val="Sous-titre C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Retrait 1re ligne Car"/>
    <w:link w:val="86"/>
    <w:semiHidden/>
    <w:qFormat/>
    <w:uiPriority w:val="99"/>
    <w:rPr>
      <w:rFonts w:ascii="Verdana" w:hAnsi="Verdana"/>
      <w:sz w:val="18"/>
      <w:szCs w:val="22"/>
      <w:lang w:val="en-GB"/>
    </w:rPr>
  </w:style>
  <w:style w:type="character" w:customStyle="1" w:styleId="290">
    <w:name w:val="Retrait corps de texte Car"/>
    <w:link w:val="35"/>
    <w:semiHidden/>
    <w:qFormat/>
    <w:uiPriority w:val="99"/>
    <w:rPr>
      <w:rFonts w:ascii="Verdana" w:hAnsi="Verdana"/>
      <w:sz w:val="18"/>
      <w:szCs w:val="22"/>
      <w:lang w:val="en-GB"/>
    </w:rPr>
  </w:style>
  <w:style w:type="character" w:customStyle="1" w:styleId="291">
    <w:name w:val="Retrait corps et 1re lig. Car"/>
    <w:link w:val="87"/>
    <w:semiHidden/>
    <w:qFormat/>
    <w:uiPriority w:val="99"/>
    <w:rPr>
      <w:rFonts w:ascii="Verdana" w:hAnsi="Verdana"/>
      <w:sz w:val="18"/>
      <w:szCs w:val="22"/>
      <w:lang w:val="en-GB"/>
    </w:rPr>
  </w:style>
  <w:style w:type="character" w:customStyle="1" w:styleId="292">
    <w:name w:val="Retrait corps de texte 2 Car"/>
    <w:link w:val="51"/>
    <w:semiHidden/>
    <w:qFormat/>
    <w:uiPriority w:val="99"/>
    <w:rPr>
      <w:rFonts w:ascii="Verdana" w:hAnsi="Verdana"/>
      <w:sz w:val="18"/>
      <w:szCs w:val="22"/>
      <w:lang w:val="en-GB"/>
    </w:rPr>
  </w:style>
  <w:style w:type="character" w:customStyle="1" w:styleId="293">
    <w:name w:val="Retrait corps de texte 3 C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Formule de politesse Car"/>
    <w:link w:val="33"/>
    <w:semiHidden/>
    <w:qFormat/>
    <w:uiPriority w:val="99"/>
    <w:rPr>
      <w:rFonts w:ascii="Verdana" w:hAnsi="Verdana"/>
      <w:sz w:val="18"/>
      <w:szCs w:val="22"/>
      <w:lang w:val="en-GB"/>
    </w:rPr>
  </w:style>
  <w:style w:type="character" w:customStyle="1" w:styleId="296">
    <w:name w:val="Commentaire Car"/>
    <w:link w:val="29"/>
    <w:qFormat/>
    <w:uiPriority w:val="99"/>
    <w:rPr>
      <w:rFonts w:ascii="Verdana" w:hAnsi="Verdana"/>
      <w:lang w:val="en-GB"/>
    </w:rPr>
  </w:style>
  <w:style w:type="character" w:customStyle="1" w:styleId="297">
    <w:name w:val="Objet du commentaire Car"/>
    <w:link w:val="85"/>
    <w:qFormat/>
    <w:uiPriority w:val="99"/>
    <w:rPr>
      <w:rFonts w:ascii="Verdana" w:hAnsi="Verdana"/>
      <w:b/>
      <w:bCs/>
      <w:lang w:val="en-GB"/>
    </w:rPr>
  </w:style>
  <w:style w:type="character" w:customStyle="1" w:styleId="298">
    <w:name w:val="Date Car"/>
    <w:link w:val="50"/>
    <w:semiHidden/>
    <w:qFormat/>
    <w:uiPriority w:val="99"/>
    <w:rPr>
      <w:rFonts w:ascii="Verdana" w:hAnsi="Verdana"/>
      <w:sz w:val="18"/>
      <w:szCs w:val="22"/>
      <w:lang w:val="en-GB"/>
    </w:rPr>
  </w:style>
  <w:style w:type="character" w:customStyle="1" w:styleId="299">
    <w:name w:val="Explorateur de documents Car"/>
    <w:link w:val="27"/>
    <w:semiHidden/>
    <w:qFormat/>
    <w:uiPriority w:val="99"/>
    <w:rPr>
      <w:rFonts w:ascii="Tahoma" w:hAnsi="Tahoma" w:cs="Tahoma"/>
      <w:sz w:val="16"/>
      <w:szCs w:val="16"/>
      <w:lang w:val="en-GB"/>
    </w:rPr>
  </w:style>
  <w:style w:type="character" w:customStyle="1" w:styleId="300">
    <w:name w:val="Signature électronique Car"/>
    <w:link w:val="20"/>
    <w:semiHidden/>
    <w:qFormat/>
    <w:uiPriority w:val="99"/>
    <w:rPr>
      <w:rFonts w:ascii="Verdana" w:hAnsi="Verdana"/>
      <w:sz w:val="18"/>
      <w:szCs w:val="22"/>
      <w:lang w:val="en-GB"/>
    </w:rPr>
  </w:style>
  <w:style w:type="character" w:customStyle="1" w:styleId="301">
    <w:name w:val="Adresse HTML Car"/>
    <w:link w:val="41"/>
    <w:semiHidden/>
    <w:qFormat/>
    <w:uiPriority w:val="99"/>
    <w:rPr>
      <w:rFonts w:ascii="Verdana" w:hAnsi="Verdana"/>
      <w:i/>
      <w:iCs/>
      <w:sz w:val="18"/>
      <w:szCs w:val="22"/>
      <w:lang w:val="en-GB"/>
    </w:rPr>
  </w:style>
  <w:style w:type="character" w:customStyle="1" w:styleId="302">
    <w:name w:val="Préformaté HTML C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Citation intense C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Texte de macro Car"/>
    <w:link w:val="2"/>
    <w:semiHidden/>
    <w:qFormat/>
    <w:uiPriority w:val="99"/>
    <w:rPr>
      <w:rFonts w:ascii="Consolas" w:hAnsi="Consolas" w:cs="Consolas"/>
      <w:lang w:val="en-GB"/>
    </w:rPr>
  </w:style>
  <w:style w:type="character" w:customStyle="1" w:styleId="308">
    <w:name w:val="En-tête de message C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Titre de note C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Texte brut C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Citation Car"/>
    <w:link w:val="313"/>
    <w:qFormat/>
    <w:uiPriority w:val="59"/>
    <w:rPr>
      <w:rFonts w:ascii="Verdana" w:hAnsi="Verdana"/>
      <w:i/>
      <w:iCs/>
      <w:color w:val="000000"/>
      <w:sz w:val="18"/>
      <w:szCs w:val="22"/>
      <w:lang w:val="en-GB"/>
    </w:rPr>
  </w:style>
  <w:style w:type="character" w:customStyle="1" w:styleId="315">
    <w:name w:val="Salutations Car"/>
    <w:link w:val="31"/>
    <w:semiHidden/>
    <w:qFormat/>
    <w:uiPriority w:val="99"/>
    <w:rPr>
      <w:rFonts w:ascii="Verdana" w:hAnsi="Verdana"/>
      <w:sz w:val="18"/>
      <w:szCs w:val="22"/>
      <w:lang w:val="en-GB"/>
    </w:rPr>
  </w:style>
  <w:style w:type="character" w:customStyle="1" w:styleId="316">
    <w:name w:val="Signature C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 w:type="character" w:customStyle="1" w:styleId="320">
    <w:name w:val="Mention non résolue1"/>
    <w:basedOn w:val="231"/>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91915e33-aec5-4329-b797-b6c3cca12f19</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95512-0DD1-4055-9511-BFE921AB871C}">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515</Words>
  <Characters>3091</Characters>
  <Lines>21</Lines>
  <Paragraphs>6</Paragraphs>
  <TotalTime>0</TotalTime>
  <ScaleCrop>false</ScaleCrop>
  <LinksUpToDate>false</LinksUpToDate>
  <CharactersWithSpaces>3557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2024-03-05T13:07:00Z</dcterms:created>
  <dc:creator>mark louie medidas</dc:creator>
  <dc:description>LDIMD - DTU</dc:description>
  <cp:lastModifiedBy> 譞譞</cp:lastModifiedBy>
  <dcterms:modified xsi:type="dcterms:W3CDTF">2025-08-07T15:46:16Z</dcterms:modified>
  <dc:title>NOTIFICATION</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91915e33-aec5-4329-b797-b6c3cca12f19</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653D0D355A0F44E5A5236502BD912584_12</vt:lpwstr>
  </property>
</Properties>
</file>