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03D0">
      <w:pPr>
        <w:pStyle w:val="84"/>
        <w:rPr>
          <w:caps w:val="0"/>
          <w:kern w:val="0"/>
        </w:rPr>
      </w:pPr>
      <w:r>
        <w:rPr>
          <w:caps w:val="0"/>
          <w:kern w:val="0"/>
        </w:rPr>
        <w:t>NOTIFICATION</w:t>
      </w:r>
    </w:p>
    <w:p w14:paraId="67670E9D">
      <w:pPr>
        <w:jc w:val="center"/>
      </w:pPr>
      <w:r>
        <w:t>The following notification is being circulated in accordance with Article 10.6</w:t>
      </w:r>
    </w:p>
    <w:p w14:paraId="77A884E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A75377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6FEC8DE">
            <w:pPr>
              <w:spacing w:before="120" w:after="120"/>
              <w:jc w:val="left"/>
            </w:pPr>
            <w:r>
              <w:rPr>
                <w:b/>
              </w:rPr>
              <w:t>1.</w:t>
            </w:r>
          </w:p>
        </w:tc>
        <w:tc>
          <w:tcPr>
            <w:tcW w:w="8546" w:type="dxa"/>
            <w:tcBorders>
              <w:bottom w:val="single" w:color="auto" w:sz="6" w:space="0"/>
            </w:tcBorders>
            <w:shd w:val="clear" w:color="auto" w:fill="auto"/>
          </w:tcPr>
          <w:p w14:paraId="476C9C61">
            <w:pPr>
              <w:spacing w:before="120" w:after="120"/>
            </w:pPr>
            <w:r>
              <w:rPr>
                <w:b/>
              </w:rPr>
              <w:t>Notifying Member:</w:t>
            </w:r>
            <w:r>
              <w:t xml:space="preserve"> </w:t>
            </w:r>
            <w:r>
              <w:rPr>
                <w:u w:val="single"/>
              </w:rPr>
              <w:t>REPUBLIC OF KOREA</w:t>
            </w:r>
          </w:p>
          <w:p w14:paraId="2CB803C4">
            <w:pPr>
              <w:spacing w:after="120"/>
            </w:pPr>
            <w:r>
              <w:rPr>
                <w:b/>
              </w:rPr>
              <w:t>If applicable, name of local government involved (Article 3.2 and 7.2):</w:t>
            </w:r>
            <w:r>
              <w:t xml:space="preserve"> </w:t>
            </w:r>
          </w:p>
        </w:tc>
      </w:tr>
      <w:tr w14:paraId="738FE8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DDB216">
            <w:pPr>
              <w:spacing w:before="120" w:after="120"/>
              <w:jc w:val="left"/>
            </w:pPr>
            <w:r>
              <w:rPr>
                <w:b/>
              </w:rPr>
              <w:t>2.</w:t>
            </w:r>
          </w:p>
        </w:tc>
        <w:tc>
          <w:tcPr>
            <w:tcW w:w="8546" w:type="dxa"/>
            <w:tcBorders>
              <w:top w:val="single" w:color="auto" w:sz="6" w:space="0"/>
              <w:bottom w:val="single" w:color="auto" w:sz="6" w:space="0"/>
            </w:tcBorders>
            <w:shd w:val="clear" w:color="auto" w:fill="auto"/>
          </w:tcPr>
          <w:p w14:paraId="6D05D85F">
            <w:pPr>
              <w:spacing w:before="120" w:after="120"/>
            </w:pPr>
            <w:r>
              <w:rPr>
                <w:b/>
              </w:rPr>
              <w:t>Agency responsible:</w:t>
            </w:r>
            <w:r>
              <w:t xml:space="preserve"> </w:t>
            </w:r>
          </w:p>
          <w:p w14:paraId="47653D7B">
            <w:pPr>
              <w:spacing w:after="120"/>
            </w:pPr>
            <w:r>
              <w:t>Ministry of Food and Drug Safety (MFDS)</w:t>
            </w:r>
          </w:p>
          <w:p w14:paraId="0E1E039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119DF36A">
            <w:pPr>
              <w:spacing w:after="120"/>
            </w:pPr>
          </w:p>
        </w:tc>
      </w:tr>
      <w:tr w14:paraId="6F8CDB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2DB0D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89537DC">
            <w:pPr>
              <w:spacing w:before="120" w:after="120"/>
            </w:pPr>
            <w:r>
              <w:rPr>
                <w:b/>
              </w:rPr>
              <w:t>Notified under Article 2.9.2 [X], 2.10.1 [</w:t>
            </w:r>
            <w:r>
              <w:rPr>
                <w:rFonts w:hint="eastAsia" w:eastAsia="宋体"/>
                <w:b/>
                <w:lang w:val="en-US" w:eastAsia="zh-CN"/>
              </w:rPr>
              <w:t xml:space="preserve"> </w:t>
            </w:r>
            <w:r>
              <w:rPr>
                <w:b/>
              </w:rPr>
              <w:t>], 5.6.2 [</w:t>
            </w:r>
            <w:r>
              <w:rPr>
                <w:rFonts w:hint="eastAsia" w:eastAsia="宋体"/>
                <w:b/>
                <w:lang w:val="en-US" w:eastAsia="zh-CN"/>
              </w:rPr>
              <w:t>X</w:t>
            </w:r>
            <w:r>
              <w:rPr>
                <w:b/>
              </w:rPr>
              <w:t>], 5.7.1 [ ], 3.2 [ ], 7.2 [ ], other:</w:t>
            </w:r>
            <w:r>
              <w:t xml:space="preserve"> </w:t>
            </w:r>
          </w:p>
        </w:tc>
      </w:tr>
      <w:tr w14:paraId="5573DF9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trHeight w:val="941" w:hRule="atLeast"/>
        </w:trPr>
        <w:tc>
          <w:tcPr>
            <w:tcW w:w="713" w:type="dxa"/>
            <w:tcBorders>
              <w:top w:val="single" w:color="auto" w:sz="6" w:space="0"/>
              <w:bottom w:val="single" w:color="auto" w:sz="6" w:space="0"/>
            </w:tcBorders>
            <w:shd w:val="clear" w:color="auto" w:fill="auto"/>
          </w:tcPr>
          <w:p w14:paraId="09DCCC64">
            <w:pPr>
              <w:spacing w:before="120" w:after="120"/>
              <w:jc w:val="left"/>
            </w:pPr>
            <w:r>
              <w:rPr>
                <w:b/>
              </w:rPr>
              <w:t>4.</w:t>
            </w:r>
          </w:p>
        </w:tc>
        <w:tc>
          <w:tcPr>
            <w:tcW w:w="8546" w:type="dxa"/>
            <w:tcBorders>
              <w:top w:val="single" w:color="auto" w:sz="6" w:space="0"/>
              <w:bottom w:val="single" w:color="auto" w:sz="6" w:space="0"/>
            </w:tcBorders>
            <w:shd w:val="clear" w:color="auto" w:fill="auto"/>
          </w:tcPr>
          <w:p w14:paraId="56FF1004">
            <w:pPr>
              <w:spacing w:before="120" w:after="120"/>
            </w:pPr>
            <w:r>
              <w:rPr>
                <w:b/>
              </w:rPr>
              <w:t>Products covered (HS or CCCN where applicable, otherwise national tariff heading. ICS numbers may be provided in addition, where applicable):</w:t>
            </w:r>
            <w:r>
              <w:t xml:space="preserve"> Diagnostic Medical Devices</w:t>
            </w:r>
          </w:p>
        </w:tc>
      </w:tr>
      <w:tr w14:paraId="512439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54460">
            <w:pPr>
              <w:spacing w:before="120" w:after="120"/>
              <w:jc w:val="left"/>
            </w:pPr>
            <w:r>
              <w:rPr>
                <w:b/>
              </w:rPr>
              <w:t>5.</w:t>
            </w:r>
          </w:p>
        </w:tc>
        <w:tc>
          <w:tcPr>
            <w:tcW w:w="8546" w:type="dxa"/>
            <w:tcBorders>
              <w:top w:val="single" w:color="auto" w:sz="6" w:space="0"/>
              <w:bottom w:val="single" w:color="auto" w:sz="6" w:space="0"/>
            </w:tcBorders>
            <w:shd w:val="clear" w:color="auto" w:fill="auto"/>
          </w:tcPr>
          <w:p w14:paraId="0AED5A31">
            <w:pPr>
              <w:spacing w:before="120" w:after="120"/>
            </w:pPr>
            <w:r>
              <w:rPr>
                <w:b/>
              </w:rPr>
              <w:t>Title, number of pages and language(s) of the notified document:</w:t>
            </w:r>
            <w:r>
              <w:t xml:space="preserve"> Proposed amendments to the "Enforcement Rules of the In Vitro Diagnostic Medical Devices Act"; (8 page(s), in Korean)</w:t>
            </w:r>
          </w:p>
        </w:tc>
      </w:tr>
      <w:tr w14:paraId="797280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B614F5">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C3A4241">
            <w:pPr>
              <w:spacing w:before="120" w:after="120"/>
              <w:rPr>
                <w:b/>
              </w:rPr>
            </w:pPr>
            <w:r>
              <w:rPr>
                <w:b/>
              </w:rPr>
              <w:t>Description of content:</w:t>
            </w:r>
            <w:r>
              <w:t xml:space="preserve"> The Ministry of Food and Drug Safety of the Republic of Korea intends to amend the "Enforcement Rule of the In Vitro Diagnostic Medical Devices Act" to include the following:</w:t>
            </w:r>
          </w:p>
          <w:p w14:paraId="0DDD089A">
            <w:pPr>
              <w:spacing w:before="120" w:after="120"/>
            </w:pPr>
            <w:r>
              <w:t>A. In conducting performance evaluations of in vitro diagnostic medical devices, the standards and specifications prescribed under the Medical Devices Act or the criteria and methods established by the Minister of Food and Drug Safety for performance evaluation shall be applied.</w:t>
            </w:r>
          </w:p>
          <w:p w14:paraId="4863C893">
            <w:pPr>
              <w:spacing w:before="120" w:after="120"/>
            </w:pPr>
            <w:r>
              <w:t>B. Any person who intends to undergo a performance evaluation shall submit technical documents, test specimens, reference materials, and other relevant materials to an institution designated by the Minister of Food and Drug Safety.</w:t>
            </w:r>
          </w:p>
          <w:p w14:paraId="6C9B3895">
            <w:pPr>
              <w:spacing w:before="120" w:after="120"/>
            </w:pPr>
            <w:r>
              <w:t>C. The performance evaluation may be delegated to an institution or organization deemed to possess the necessary expertise in the testing or diagnosis of in vitro diagnostic medical devices.</w:t>
            </w:r>
          </w:p>
        </w:tc>
      </w:tr>
      <w:tr w14:paraId="730F5A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8BCEE70">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A16F79A">
            <w:pPr>
              <w:spacing w:before="120" w:after="120"/>
              <w:rPr>
                <w:b/>
              </w:rPr>
            </w:pPr>
            <w:r>
              <w:rPr>
                <w:b/>
              </w:rPr>
              <w:t>Objective and rationale, including the nature of urgent problems where applicable:</w:t>
            </w:r>
            <w:r>
              <w:t xml:space="preserve"> Protection of human health or safety; Quality requirements</w:t>
            </w:r>
          </w:p>
        </w:tc>
      </w:tr>
      <w:tr w14:paraId="754D43F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F2154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31298AE">
            <w:pPr>
              <w:spacing w:before="120" w:after="120"/>
              <w:rPr>
                <w:bCs/>
              </w:rPr>
            </w:pPr>
            <w:r>
              <w:rPr>
                <w:b/>
              </w:rPr>
              <w:t>Relevant documents:</w:t>
            </w:r>
            <w:r>
              <w:t xml:space="preserve"> </w:t>
            </w:r>
          </w:p>
          <w:p w14:paraId="68F63705">
            <w:pPr>
              <w:spacing w:before="120" w:after="120"/>
            </w:pPr>
            <w:r>
              <w:t>MFDS NOTIFICATION No. 2025-331, 31 July 2025</w:t>
            </w:r>
          </w:p>
        </w:tc>
      </w:tr>
      <w:tr w14:paraId="6FAA3B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035531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10C46C08">
            <w:pPr>
              <w:spacing w:before="120" w:after="120"/>
            </w:pPr>
            <w:r>
              <w:rPr>
                <w:b/>
              </w:rPr>
              <w:t>Proposed date of adoption:</w:t>
            </w:r>
            <w:r>
              <w:t xml:space="preserve"> To be determined</w:t>
            </w:r>
          </w:p>
          <w:p w14:paraId="3CA075F0">
            <w:pPr>
              <w:spacing w:after="120"/>
            </w:pPr>
            <w:r>
              <w:rPr>
                <w:b/>
              </w:rPr>
              <w:t>Proposed date of entry into force:</w:t>
            </w:r>
            <w:r>
              <w:t xml:space="preserve"> To be determined</w:t>
            </w:r>
          </w:p>
        </w:tc>
      </w:tr>
      <w:tr w14:paraId="0CA188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B1DD8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2ABE0DE">
            <w:pPr>
              <w:spacing w:before="120" w:after="120"/>
              <w:rPr>
                <w:rFonts w:hint="eastAsia" w:eastAsia="宋体"/>
                <w:bCs/>
                <w:lang w:eastAsia="zh-CN"/>
              </w:rPr>
            </w:pPr>
            <w:r>
              <w:rPr>
                <w:b/>
              </w:rPr>
              <w:t>Final date for comments:</w:t>
            </w:r>
            <w:r>
              <w:t xml:space="preserve"> 6 October 2025</w:t>
            </w:r>
            <w:r>
              <w:rPr>
                <w:rFonts w:hint="eastAsia" w:eastAsia="宋体"/>
                <w:lang w:eastAsia="zh-CN"/>
              </w:rPr>
              <w:t>；</w:t>
            </w:r>
          </w:p>
          <w:p w14:paraId="66DE57BF">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bookmarkStart w:id="10" w:name="_GoBack"/>
            <w:bookmarkEnd w:id="10"/>
          </w:p>
          <w:p w14:paraId="7AD935F1">
            <w:pPr>
              <w:spacing w:before="120" w:after="120"/>
            </w:pPr>
            <w:r>
              <w:rPr>
                <w:b/>
                <w:bCs/>
              </w:rPr>
              <w:t>Contact details of agency or authority designated to handle comments regarding the notification:</w:t>
            </w:r>
            <w:r>
              <w:t xml:space="preserve"> </w:t>
            </w:r>
          </w:p>
          <w:p w14:paraId="79F74C8B">
            <w:r>
              <w:t>Korea WTO TBT Enquiry Point</w:t>
            </w:r>
          </w:p>
          <w:p w14:paraId="1F406337">
            <w:r>
              <w:t>Technical Regulatory Policy Division</w:t>
            </w:r>
          </w:p>
          <w:p w14:paraId="042AEC0F">
            <w:r>
              <w:t>Korean Agency for Technology and Standards (KATS)</w:t>
            </w:r>
          </w:p>
          <w:p w14:paraId="7DAE9BF7">
            <w:r>
              <w:t>93 Isu-ro Maengdong-myeon Eumseong-gun</w:t>
            </w:r>
          </w:p>
          <w:p w14:paraId="2EA24C7E">
            <w:r>
              <w:t>Chungchungbuk-do</w:t>
            </w:r>
          </w:p>
          <w:p w14:paraId="235D37B2">
            <w:r>
              <w:t>27737</w:t>
            </w:r>
          </w:p>
          <w:p w14:paraId="4A2E6ACD">
            <w:r>
              <w:t>Tel: +(82) 43 870 5315</w:t>
            </w:r>
          </w:p>
          <w:p w14:paraId="71C40AB8">
            <w:r>
              <w:t>Fax: +(82) 43 870 5682</w:t>
            </w:r>
          </w:p>
          <w:p w14:paraId="08DC234B">
            <w:r>
              <w:t xml:space="preserve">Email: </w:t>
            </w:r>
            <w:r>
              <w:fldChar w:fldCharType="begin"/>
            </w:r>
            <w:r>
              <w:instrText xml:space="preserve"> HYPERLINK "mailto:tbt@korea.kr" </w:instrText>
            </w:r>
            <w:r>
              <w:fldChar w:fldCharType="separate"/>
            </w:r>
            <w:r>
              <w:rPr>
                <w:color w:val="0000FF"/>
                <w:u w:val="single"/>
              </w:rPr>
              <w:t>tbt@korea.kr</w:t>
            </w:r>
            <w:r>
              <w:rPr>
                <w:color w:val="0000FF"/>
                <w:u w:val="single"/>
              </w:rPr>
              <w:fldChar w:fldCharType="end"/>
            </w:r>
          </w:p>
          <w:p w14:paraId="563659DC">
            <w:pPr>
              <w:spacing w:before="120" w:after="120"/>
            </w:pPr>
            <w:r>
              <w:t xml:space="preserve">Website: </w:t>
            </w:r>
            <w:r>
              <w:fldChar w:fldCharType="begin"/>
            </w:r>
            <w:r>
              <w:instrText xml:space="preserve"> HYPERLINK "https://www.knowtbt.kr" \t "_blank" </w:instrText>
            </w:r>
            <w:r>
              <w:fldChar w:fldCharType="separate"/>
            </w:r>
            <w:r>
              <w:rPr>
                <w:color w:val="0000FF"/>
                <w:u w:val="single"/>
              </w:rPr>
              <w:t>https://www.knowtbt.kr</w:t>
            </w:r>
            <w:r>
              <w:rPr>
                <w:color w:val="0000FF"/>
                <w:u w:val="single"/>
              </w:rPr>
              <w:fldChar w:fldCharType="end"/>
            </w:r>
          </w:p>
        </w:tc>
      </w:tr>
      <w:tr w14:paraId="0682CD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BF95A63">
            <w:pPr>
              <w:keepNext/>
              <w:keepLines/>
              <w:spacing w:before="120" w:after="120"/>
              <w:jc w:val="left"/>
              <w:rPr>
                <w:b/>
              </w:rPr>
            </w:pPr>
            <w:r>
              <w:rPr>
                <w:b/>
              </w:rPr>
              <w:t>11.</w:t>
            </w:r>
          </w:p>
        </w:tc>
        <w:tc>
          <w:tcPr>
            <w:tcW w:w="8546" w:type="dxa"/>
            <w:tcBorders>
              <w:top w:val="single" w:color="auto" w:sz="6" w:space="0"/>
            </w:tcBorders>
            <w:shd w:val="clear" w:color="auto" w:fill="auto"/>
          </w:tcPr>
          <w:p w14:paraId="180D5272">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73104431">
            <w:pPr>
              <w:rPr>
                <w:iCs/>
              </w:rPr>
            </w:pPr>
            <w:r>
              <w:rPr>
                <w:iCs/>
              </w:rPr>
              <w:t>Documents are available from the Ministry of Food and Drug Safety (MFDS) website: www.mfds.go.kr</w:t>
            </w:r>
          </w:p>
          <w:p w14:paraId="52150ED9">
            <w:pPr>
              <w:rPr>
                <w:iCs/>
              </w:rPr>
            </w:pPr>
            <w:r>
              <w:rPr>
                <w:iCs/>
              </w:rPr>
              <w:t>International Cooperation Office, Ministry of Food and Drug Safety</w:t>
            </w:r>
          </w:p>
          <w:p w14:paraId="0CE78F33">
            <w:pPr>
              <w:rPr>
                <w:iCs/>
              </w:rPr>
            </w:pPr>
            <w:r>
              <w:rPr>
                <w:iCs/>
              </w:rPr>
              <w:t>187 Osongsaengmyeong2-ro, Osong-eup, Heungdeok-gu Cheongju-si, Chungcheongbuk-do, 28159, Republic of Korea</w:t>
            </w:r>
          </w:p>
          <w:p w14:paraId="05AE43B6">
            <w:pPr>
              <w:pBdr>
                <w:top w:val="none" w:color="auto" w:sz="0" w:space="4"/>
                <w:bottom w:val="none" w:color="auto" w:sz="0" w:space="4"/>
              </w:pBdr>
              <w:rPr>
                <w:iCs/>
                <w:color w:val="0000FF"/>
                <w:u w:val="single"/>
              </w:rPr>
            </w:pPr>
            <w:r>
              <w:rPr>
                <w:iCs/>
              </w:rPr>
              <w:t xml:space="preserve">Tel: (+82) 43 719-1564, Fax: (+82) 43-719-1550, Email: </w:t>
            </w:r>
            <w:r>
              <w:fldChar w:fldCharType="begin"/>
            </w:r>
            <w:r>
              <w:instrText xml:space="preserve"> HYPERLINK "mailto:intmfds@korea.kr" </w:instrText>
            </w:r>
            <w:r>
              <w:fldChar w:fldCharType="separate"/>
            </w:r>
            <w:r>
              <w:rPr>
                <w:iCs/>
                <w:color w:val="0000FF"/>
                <w:u w:val="single"/>
              </w:rPr>
              <w:t>intmfds@korea.kr</w:t>
            </w:r>
            <w:r>
              <w:rPr>
                <w:iCs/>
                <w:color w:val="0000FF"/>
                <w:u w:val="single"/>
              </w:rPr>
              <w:fldChar w:fldCharType="end"/>
            </w:r>
          </w:p>
          <w:p w14:paraId="62C83A50">
            <w:pPr>
              <w:pBdr>
                <w:top w:val="none" w:color="auto" w:sz="0" w:space="4"/>
                <w:bottom w:val="none" w:color="auto" w:sz="0" w:space="4"/>
              </w:pBdr>
              <w:rPr>
                <w:iCs/>
                <w:color w:val="0000FF"/>
                <w:u w:val="single"/>
              </w:rPr>
            </w:pPr>
          </w:p>
          <w:p w14:paraId="1D9AE3E6">
            <w:pPr>
              <w:pBdr>
                <w:top w:val="none" w:color="auto" w:sz="0" w:space="4"/>
                <w:bottom w:val="none" w:color="auto" w:sz="0" w:space="4"/>
              </w:pBdr>
              <w:rPr>
                <w:iCs/>
              </w:rPr>
            </w:pPr>
            <w:r>
              <w:fldChar w:fldCharType="begin"/>
            </w:r>
            <w:r>
              <w:instrText xml:space="preserve"> HYPERLINK "https://members.wto.org/crnattachments/2025/TBT/KOR/25_05213_00_x.pdf" \t "_blank" </w:instrText>
            </w:r>
            <w:r>
              <w:fldChar w:fldCharType="separate"/>
            </w:r>
            <w:r>
              <w:rPr>
                <w:iCs/>
                <w:color w:val="0000FF"/>
                <w:u w:val="single"/>
              </w:rPr>
              <w:t>https://members.wto.org/crnattachments/2025/TBT/KOR/25_05213_00_x.pdf</w:t>
            </w:r>
            <w:r>
              <w:rPr>
                <w:iCs/>
                <w:color w:val="0000FF"/>
                <w:u w:val="single"/>
              </w:rPr>
              <w:fldChar w:fldCharType="end"/>
            </w:r>
          </w:p>
          <w:p w14:paraId="1F2C600E">
            <w:pPr>
              <w:pBdr>
                <w:top w:val="none" w:color="auto" w:sz="0" w:space="4"/>
                <w:bottom w:val="none" w:color="auto" w:sz="0" w:space="4"/>
              </w:pBdr>
              <w:rPr>
                <w:bCs/>
              </w:rPr>
            </w:pPr>
          </w:p>
        </w:tc>
      </w:tr>
    </w:tbl>
    <w:p w14:paraId="38E3A29A"/>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9E78">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0C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37A4">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926">
    <w:pPr>
      <w:pStyle w:val="58"/>
      <w:pBdr>
        <w:bottom w:val="single" w:color="auto" w:sz="4" w:space="1"/>
      </w:pBdr>
      <w:tabs>
        <w:tab w:val="clear" w:pos="4513"/>
        <w:tab w:val="clear" w:pos="9027"/>
      </w:tabs>
      <w:jc w:val="center"/>
    </w:pPr>
    <w:bookmarkStart w:id="9" w:name="spsSymbolHeader"/>
    <w:r>
      <w:t>G/TBT/N/KOR/1294</w:t>
    </w:r>
    <w:bookmarkEnd w:id="9"/>
  </w:p>
  <w:p w14:paraId="2F977BDA">
    <w:pPr>
      <w:pStyle w:val="58"/>
      <w:pBdr>
        <w:bottom w:val="single" w:color="auto" w:sz="4" w:space="1"/>
      </w:pBdr>
      <w:tabs>
        <w:tab w:val="clear" w:pos="4513"/>
        <w:tab w:val="clear" w:pos="9027"/>
      </w:tabs>
      <w:jc w:val="center"/>
    </w:pPr>
  </w:p>
  <w:p w14:paraId="617713E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042E6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5CB9">
    <w:pPr>
      <w:pStyle w:val="58"/>
      <w:pBdr>
        <w:bottom w:val="single" w:color="auto" w:sz="4" w:space="1"/>
      </w:pBdr>
      <w:tabs>
        <w:tab w:val="clear" w:pos="4513"/>
        <w:tab w:val="clear" w:pos="9027"/>
      </w:tabs>
      <w:jc w:val="center"/>
    </w:pPr>
    <w:r>
      <w:t>tbtSymbol</w:t>
    </w:r>
  </w:p>
  <w:p w14:paraId="3C992928">
    <w:pPr>
      <w:pStyle w:val="58"/>
      <w:pBdr>
        <w:bottom w:val="single" w:color="auto" w:sz="4" w:space="1"/>
      </w:pBdr>
      <w:tabs>
        <w:tab w:val="clear" w:pos="4513"/>
        <w:tab w:val="clear" w:pos="9027"/>
      </w:tabs>
      <w:jc w:val="center"/>
    </w:pPr>
  </w:p>
  <w:p w14:paraId="5ACCB86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ACBFFB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084CF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E01712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85DFEE5">
          <w:pPr>
            <w:jc w:val="right"/>
            <w:rPr>
              <w:b/>
              <w:color w:val="FF0000"/>
              <w:szCs w:val="16"/>
            </w:rPr>
          </w:pPr>
        </w:p>
      </w:tc>
    </w:tr>
    <w:bookmarkEnd w:id="0"/>
    <w:tr w14:paraId="62DAFF3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E7E6FC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3933EC0">
          <w:pPr>
            <w:jc w:val="right"/>
            <w:rPr>
              <w:b/>
              <w:szCs w:val="16"/>
            </w:rPr>
          </w:pPr>
        </w:p>
      </w:tc>
    </w:tr>
    <w:tr w14:paraId="70A787B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67E25BF">
          <w:pPr>
            <w:jc w:val="left"/>
            <w:rPr>
              <w:lang w:eastAsia="en-GB"/>
            </w:rPr>
          </w:pPr>
        </w:p>
      </w:tc>
      <w:tc>
        <w:tcPr>
          <w:tcW w:w="5448" w:type="dxa"/>
          <w:gridSpan w:val="2"/>
          <w:shd w:val="clear" w:color="auto" w:fill="FFFFFF"/>
          <w:tcMar>
            <w:left w:w="108" w:type="dxa"/>
            <w:right w:w="108" w:type="dxa"/>
          </w:tcMar>
        </w:tcPr>
        <w:p w14:paraId="307AC36A">
          <w:pPr>
            <w:jc w:val="right"/>
            <w:rPr>
              <w:rFonts w:hint="default" w:eastAsia="宋体"/>
              <w:b/>
              <w:szCs w:val="16"/>
              <w:lang w:val="en-US" w:eastAsia="zh-CN"/>
            </w:rPr>
          </w:pPr>
          <w:bookmarkStart w:id="1" w:name="bmkSymbols"/>
          <w:r>
            <w:rPr>
              <w:b/>
              <w:szCs w:val="16"/>
            </w:rPr>
            <w:t>G/TBT/N/KOR/1</w:t>
          </w:r>
          <w:bookmarkEnd w:id="1"/>
          <w:r>
            <w:rPr>
              <w:rFonts w:hint="eastAsia" w:eastAsia="宋体"/>
              <w:b/>
              <w:szCs w:val="16"/>
              <w:lang w:val="en-US" w:eastAsia="zh-CN"/>
            </w:rPr>
            <w:t>302</w:t>
          </w:r>
        </w:p>
      </w:tc>
    </w:tr>
    <w:tr w14:paraId="13B9F4C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0F030C"/>
      </w:tc>
      <w:tc>
        <w:tcPr>
          <w:tcW w:w="5448" w:type="dxa"/>
          <w:gridSpan w:val="2"/>
          <w:shd w:val="clear" w:color="auto" w:fill="FFFFFF"/>
          <w:tcMar>
            <w:left w:w="108" w:type="dxa"/>
            <w:right w:w="108" w:type="dxa"/>
          </w:tcMar>
          <w:vAlign w:val="center"/>
        </w:tcPr>
        <w:p w14:paraId="68F4D5C6">
          <w:pPr>
            <w:jc w:val="right"/>
            <w:rPr>
              <w:szCs w:val="16"/>
            </w:rPr>
          </w:pPr>
          <w:bookmarkStart w:id="2" w:name="spsDateDistribution"/>
          <w:bookmarkStart w:id="3" w:name="bmkDate"/>
          <w:r>
            <w:rPr>
              <w:szCs w:val="16"/>
            </w:rPr>
            <w:t>7 August 2025</w:t>
          </w:r>
          <w:bookmarkEnd w:id="2"/>
          <w:bookmarkEnd w:id="3"/>
        </w:p>
      </w:tc>
    </w:tr>
    <w:tr w14:paraId="4E363B5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FF06D0D">
          <w:pPr>
            <w:jc w:val="left"/>
            <w:rPr>
              <w:b/>
            </w:rPr>
          </w:pPr>
          <w:bookmarkStart w:id="4" w:name="bmkSerial"/>
          <w:r>
            <w:rPr>
              <w:b w:val="0"/>
              <w:color w:val="FF0000"/>
            </w:rPr>
            <w:t>(25-</w:t>
          </w:r>
          <w:r>
            <w:rPr>
              <w:rFonts w:hint="eastAsia" w:eastAsia="宋体"/>
              <w:b w:val="0"/>
              <w:color w:val="FF0000"/>
              <w:lang w:val="en-US" w:eastAsia="zh-CN"/>
            </w:rPr>
            <w:t>5033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594881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CFBFE5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1904A89">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78824E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A5A373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0474"/>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2A78"/>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25E"/>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3708"/>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B4439"/>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60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F521761"/>
    <w:rsid w:val="21221741"/>
    <w:rsid w:val="3AC7212D"/>
    <w:rsid w:val="43701164"/>
    <w:rsid w:val="4473019C"/>
    <w:rsid w:val="5B346DB9"/>
    <w:rsid w:val="6042549F"/>
    <w:rsid w:val="6F5341D7"/>
    <w:rsid w:val="730A3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qFormat="1"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uiPriority="49" w:name="List Number 4"/>
    <w:lsdException w:qFormat="1" w:uiPriority="49" w:name="List Number 5"/>
    <w:lsdException w:qFormat="1" w:unhideWhenUsed="0" w:uiPriority="5"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uiPriority="99" w:name="List Continue 4"/>
    <w:lsdException w:qFormat="1" w:uiPriority="99" w:name="List Continue 5"/>
    <w:lsdException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qFormat="1" w:uiPriority="99" w:name="Table Classic 1"/>
    <w:lsdException w:qFormat="1" w:uiPriority="99" w:name="Table Classic 2"/>
    <w:lsdException w:qFormat="1" w:uiPriority="99" w:name="Table Classic 3"/>
    <w:lsdException w:uiPriority="99" w:name="Table Classic 4"/>
    <w:lsdException w:qFormat="1" w:uiPriority="99" w:name="Table Colorful 1"/>
    <w:lsdException w:qFormat="1" w:uiPriority="99" w:name="Table Colorful 2"/>
    <w:lsdException w:qFormat="1"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name="Table Grid 2"/>
    <w:lsdException w:uiPriority="99" w:name="Table Grid 3"/>
    <w:lsdException w:uiPriority="99" w:name="Table Grid 4"/>
    <w:lsdException w:uiPriority="99" w:name="Table Grid 5"/>
    <w:lsdException w:uiPriority="99" w:name="Table Grid 6"/>
    <w:lsdException w:uiPriority="99" w:name="Table Grid 7"/>
    <w:lsdException w:qFormat="1" w:uiPriority="99" w:name="Table Grid 8"/>
    <w:lsdException w:qFormat="1" w:uiPriority="99" w:name="Table List 1"/>
    <w:lsdException w:uiPriority="99" w:name="Table List 2"/>
    <w:lsdException w:uiPriority="99" w:name="Table List 3"/>
    <w:lsdException w:uiPriority="99" w:name="Table List 4"/>
    <w:lsdException w:uiPriority="99" w:name="Table List 5"/>
    <w:lsdException w:qFormat="1" w:uiPriority="99" w:name="Table List 6"/>
    <w:lsdException w:uiPriority="99" w:name="Table List 7"/>
    <w:lsdException w:uiPriority="99" w:name="Table List 8"/>
    <w:lsdException w:uiPriority="99" w:name="Table 3D effects 1"/>
    <w:lsdException w:qFormat="1" w:uiPriority="99" w:name="Table 3D effects 2"/>
    <w:lsdException w:uiPriority="99" w:name="Table 3D effects 3"/>
    <w:lsdException w:uiPriority="99" w:name="Table Contemporary"/>
    <w:lsdException w:qFormat="1"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27CD8-1AE2-451B-B1F7-6A47D52D875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344</Words>
  <Characters>2127</Characters>
  <Lines>18</Lines>
  <Paragraphs>5</Paragraphs>
  <TotalTime>0</TotalTime>
  <ScaleCrop>false</ScaleCrop>
  <LinksUpToDate>false</LinksUpToDate>
  <CharactersWithSpaces>2427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2025-05-28T07:17:00Z</dcterms:created>
  <dc:creator>mark louie medidas</dc:creator>
  <dc:description>LDIMD - DTU</dc:description>
  <cp:lastModifiedBy> 譞譞</cp:lastModifiedBy>
  <dcterms:modified xsi:type="dcterms:W3CDTF">2025-08-07T15:12:21Z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BE5538966C5A41A4BE22FE70667DFDCA_12</vt:lpwstr>
  </property>
</Properties>
</file>