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36FB8">
      <w:pPr>
        <w:pStyle w:val="84"/>
        <w:rPr>
          <w:caps w:val="0"/>
          <w:kern w:val="0"/>
        </w:rPr>
      </w:pPr>
      <w:r>
        <w:rPr>
          <w:caps w:val="0"/>
          <w:kern w:val="0"/>
        </w:rPr>
        <w:t>NOTIFICATION</w:t>
      </w:r>
    </w:p>
    <w:p w14:paraId="0831D3FE">
      <w:pPr>
        <w:jc w:val="center"/>
      </w:pPr>
      <w:r>
        <w:t>The following notification is being circulated in accordance with Article 10.6</w:t>
      </w:r>
    </w:p>
    <w:p w14:paraId="7A9E6B3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861C1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A8358A6">
            <w:pPr>
              <w:spacing w:before="120" w:after="120"/>
              <w:jc w:val="left"/>
            </w:pPr>
            <w:r>
              <w:rPr>
                <w:b/>
              </w:rPr>
              <w:t>1.</w:t>
            </w:r>
          </w:p>
        </w:tc>
        <w:tc>
          <w:tcPr>
            <w:tcW w:w="8546" w:type="dxa"/>
            <w:tcBorders>
              <w:bottom w:val="single" w:color="auto" w:sz="6" w:space="0"/>
            </w:tcBorders>
            <w:shd w:val="clear" w:color="auto" w:fill="auto"/>
          </w:tcPr>
          <w:p w14:paraId="0BEC98F9">
            <w:pPr>
              <w:spacing w:before="120" w:after="120"/>
            </w:pPr>
            <w:r>
              <w:rPr>
                <w:b/>
              </w:rPr>
              <w:t>Notifying Member:</w:t>
            </w:r>
            <w:r>
              <w:t xml:space="preserve"> </w:t>
            </w:r>
            <w:r>
              <w:rPr>
                <w:u w:val="single"/>
              </w:rPr>
              <w:t>KENYA</w:t>
            </w:r>
          </w:p>
          <w:p w14:paraId="0EB53292">
            <w:pPr>
              <w:spacing w:after="120"/>
            </w:pPr>
            <w:r>
              <w:rPr>
                <w:b/>
              </w:rPr>
              <w:t>If applicable, name of local government involved (Article 3.2 and 7.2):</w:t>
            </w:r>
            <w:r>
              <w:t xml:space="preserve"> </w:t>
            </w:r>
          </w:p>
        </w:tc>
      </w:tr>
      <w:tr w14:paraId="3364A8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4F5A32">
            <w:pPr>
              <w:spacing w:before="120" w:after="120"/>
              <w:jc w:val="left"/>
            </w:pPr>
            <w:r>
              <w:rPr>
                <w:b/>
              </w:rPr>
              <w:t>2.</w:t>
            </w:r>
          </w:p>
        </w:tc>
        <w:tc>
          <w:tcPr>
            <w:tcW w:w="8546" w:type="dxa"/>
            <w:tcBorders>
              <w:top w:val="single" w:color="auto" w:sz="6" w:space="0"/>
              <w:bottom w:val="single" w:color="auto" w:sz="6" w:space="0"/>
            </w:tcBorders>
            <w:shd w:val="clear" w:color="auto" w:fill="auto"/>
          </w:tcPr>
          <w:p w14:paraId="3443F5EC">
            <w:pPr>
              <w:spacing w:before="120" w:after="120"/>
            </w:pPr>
            <w:r>
              <w:rPr>
                <w:b/>
              </w:rPr>
              <w:t>Agency responsible:</w:t>
            </w:r>
            <w:r>
              <w:t xml:space="preserve"> </w:t>
            </w:r>
          </w:p>
          <w:p w14:paraId="70DCA658">
            <w:r>
              <w:t>Kenya Bureau of Standards</w:t>
            </w:r>
          </w:p>
          <w:p w14:paraId="5BE67B53">
            <w:r>
              <w:t>P.O. Box: 54974-00200, Nairobi, Kenya</w:t>
            </w:r>
          </w:p>
          <w:p w14:paraId="5256109C">
            <w:pPr>
              <w:spacing w:after="120"/>
            </w:pPr>
            <w:r>
              <w:t xml:space="preserve">Telephone: + (254) 020 605490, 605506/6948258 </w:t>
            </w:r>
          </w:p>
          <w:p w14:paraId="65551925">
            <w:pPr>
              <w:spacing w:after="120"/>
            </w:pPr>
            <w:r>
              <w:t xml:space="preserve">Fax: + (254) 020 609660/609665 </w:t>
            </w:r>
          </w:p>
          <w:p w14:paraId="0AC08AB7">
            <w:pPr>
              <w:numPr>
                <w:ilvl w:val="0"/>
                <w:numId w:val="7"/>
              </w:numPr>
              <w:spacing w:after="120"/>
            </w:pPr>
            <w:r>
              <w:t xml:space="preserv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t>
            </w:r>
          </w:p>
          <w:p w14:paraId="7EEE1A8C">
            <w:pPr>
              <w:numPr>
                <w:ilvl w:val="0"/>
                <w:numId w:val="0"/>
              </w:numPr>
              <w:spacing w:after="120"/>
              <w:rPr>
                <w:color w:val="0000FF"/>
                <w:u w:val="single"/>
              </w:rPr>
            </w:pPr>
            <w:r>
              <w:t xml:space="preserve">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A51E90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3F29A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247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D61351B">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0D5934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D7ACF">
            <w:pPr>
              <w:spacing w:before="120" w:after="120"/>
              <w:jc w:val="left"/>
            </w:pPr>
            <w:r>
              <w:rPr>
                <w:b/>
              </w:rPr>
              <w:t>4.</w:t>
            </w:r>
          </w:p>
        </w:tc>
        <w:tc>
          <w:tcPr>
            <w:tcW w:w="8546" w:type="dxa"/>
            <w:tcBorders>
              <w:top w:val="single" w:color="auto" w:sz="6" w:space="0"/>
              <w:bottom w:val="single" w:color="auto" w:sz="6" w:space="0"/>
            </w:tcBorders>
            <w:shd w:val="clear" w:color="auto" w:fill="auto"/>
          </w:tcPr>
          <w:p w14:paraId="02CCFED7">
            <w:pPr>
              <w:spacing w:before="120" w:after="120"/>
            </w:pPr>
            <w:r>
              <w:rPr>
                <w:b/>
              </w:rPr>
              <w:t>Products covered (HS or CCCN where applicable, otherwise national tariff heading. ICS numbers may be provided in addition, where applicable):</w:t>
            </w:r>
            <w:r>
              <w:t xml:space="preserve"> Products of the textile industry (ICS code(s): 59.080)</w:t>
            </w:r>
          </w:p>
        </w:tc>
      </w:tr>
      <w:tr w14:paraId="6D6D78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5163FB">
            <w:pPr>
              <w:spacing w:before="120" w:after="120"/>
              <w:jc w:val="left"/>
            </w:pPr>
            <w:r>
              <w:rPr>
                <w:b/>
              </w:rPr>
              <w:t>5.</w:t>
            </w:r>
          </w:p>
        </w:tc>
        <w:tc>
          <w:tcPr>
            <w:tcW w:w="8546" w:type="dxa"/>
            <w:tcBorders>
              <w:top w:val="single" w:color="auto" w:sz="6" w:space="0"/>
              <w:bottom w:val="single" w:color="auto" w:sz="6" w:space="0"/>
            </w:tcBorders>
            <w:shd w:val="clear" w:color="auto" w:fill="auto"/>
          </w:tcPr>
          <w:p w14:paraId="1BEE0E31">
            <w:pPr>
              <w:spacing w:before="120" w:after="120"/>
            </w:pPr>
            <w:r>
              <w:rPr>
                <w:b/>
              </w:rPr>
              <w:t>Title, number of pages and language(s) of the notified document:</w:t>
            </w:r>
            <w:r>
              <w:t xml:space="preserve">  Draft African Standard, DARS 1567-3: 2025 School wear fabrics— Part 3: Trousers, dresses, tunics, and skirts; (7 page(s), in English)</w:t>
            </w:r>
          </w:p>
        </w:tc>
      </w:tr>
      <w:tr w14:paraId="0EDCD2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BB1AFE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38EA79DB">
            <w:pPr>
              <w:spacing w:before="120" w:after="120"/>
              <w:rPr>
                <w:b/>
              </w:rPr>
            </w:pPr>
            <w:r>
              <w:rPr>
                <w:b/>
              </w:rPr>
              <w:t>Description of content:</w:t>
            </w:r>
            <w:r>
              <w:t xml:space="preserve"> This part of ARS 1567 specifies the requirements for sampling and test methods for fabrics used for making trousers, dresses, tunics, and skirts</w:t>
            </w:r>
          </w:p>
        </w:tc>
      </w:tr>
      <w:tr w14:paraId="46BA9E7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871AB0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BBA5779">
            <w:pPr>
              <w:spacing w:before="120" w:after="120"/>
              <w:rPr>
                <w:b/>
              </w:rPr>
            </w:pPr>
            <w:r>
              <w:rPr>
                <w:b/>
              </w:rPr>
              <w:t>Objective and rationale, including the nature of urgent problems where applicable:</w:t>
            </w:r>
            <w:r>
              <w:t xml:space="preserve"> Consumer information, labelling; Protection of human health or safety; Quality requirements; Harmonization; Reducing trade barriers and facilitating trade</w:t>
            </w:r>
          </w:p>
        </w:tc>
      </w:tr>
      <w:tr w14:paraId="0F61C03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05D1498">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A2F3C09">
            <w:pPr>
              <w:spacing w:before="120" w:after="120"/>
              <w:rPr>
                <w:bCs/>
              </w:rPr>
            </w:pPr>
            <w:r>
              <w:rPr>
                <w:b/>
              </w:rPr>
              <w:t>Relevant documents:</w:t>
            </w:r>
            <w:r>
              <w:t xml:space="preserve"> </w:t>
            </w:r>
          </w:p>
          <w:p w14:paraId="0F5BCF7C">
            <w:pPr>
              <w:numPr>
                <w:ilvl w:val="0"/>
                <w:numId w:val="8"/>
              </w:numPr>
              <w:spacing w:before="120" w:after="120"/>
            </w:pPr>
            <w:r>
              <w:t>ARS 1551, Textiles and textile merchandise — Terms and definitions</w:t>
            </w:r>
          </w:p>
          <w:p w14:paraId="27524C4B">
            <w:pPr>
              <w:numPr>
                <w:ilvl w:val="0"/>
                <w:numId w:val="8"/>
              </w:numPr>
              <w:spacing w:before="120" w:after="120"/>
            </w:pPr>
            <w:r>
              <w:t>ARS 1567-1, School wear fabrics — Part 1: Basic requirements</w:t>
            </w:r>
          </w:p>
          <w:p w14:paraId="36CC9308">
            <w:pPr>
              <w:numPr>
                <w:ilvl w:val="0"/>
                <w:numId w:val="8"/>
              </w:numPr>
              <w:spacing w:before="120" w:after="120"/>
            </w:pPr>
            <w:r>
              <w:t>ISO 105-B02, Textiles — Tests for colour fastness — Part B02: Colour fastness to artificial light: Xenon arc fading lamp test</w:t>
            </w:r>
          </w:p>
          <w:p w14:paraId="10AB71F6">
            <w:pPr>
              <w:numPr>
                <w:ilvl w:val="0"/>
                <w:numId w:val="8"/>
              </w:numPr>
              <w:spacing w:before="120" w:after="120"/>
            </w:pPr>
            <w:r>
              <w:t>ISO 105-C06, Textiles — Tests for colour fastness — Part C06: Colourfastness to domesticand commercial laundering</w:t>
            </w:r>
          </w:p>
          <w:p w14:paraId="3E92B213">
            <w:pPr>
              <w:numPr>
                <w:ilvl w:val="0"/>
                <w:numId w:val="8"/>
              </w:numPr>
              <w:spacing w:before="120" w:after="120"/>
            </w:pPr>
            <w:r>
              <w:t>ISO 105-C10, Textiles – Tests for colour fastness – Part C10: Colour fastness to washing with soap or soap and soda 105-E04, Textiles — Tests for colour fastness — Part E04: Colour fastness to perspiration</w:t>
            </w:r>
          </w:p>
          <w:p w14:paraId="5A6363B3">
            <w:pPr>
              <w:numPr>
                <w:ilvl w:val="0"/>
                <w:numId w:val="8"/>
              </w:numPr>
              <w:spacing w:before="120" w:after="120"/>
            </w:pPr>
            <w:r>
              <w:t>ISO 105-X12, Textiles — Tests for colour fastness— Part X12: Colour fastnessto rubbing</w:t>
            </w:r>
          </w:p>
          <w:p w14:paraId="72177660">
            <w:pPr>
              <w:numPr>
                <w:ilvl w:val="0"/>
                <w:numId w:val="8"/>
              </w:numPr>
              <w:spacing w:before="120" w:after="120"/>
            </w:pPr>
            <w:r>
              <w:t>ISO 2859-1, Sampling procedures for inspection by attributes — Part 1: Sampling schemes indexed by acceptance quality limit (AQL) for lot-by-lot inspection</w:t>
            </w:r>
          </w:p>
          <w:p w14:paraId="511611FB">
            <w:pPr>
              <w:numPr>
                <w:ilvl w:val="0"/>
                <w:numId w:val="8"/>
              </w:numPr>
              <w:spacing w:before="120" w:after="120"/>
            </w:pPr>
            <w:r>
              <w:t>ISO 6330, Textiles — Domestic washing and drying procedures for textile testing</w:t>
            </w:r>
          </w:p>
          <w:p w14:paraId="0230575F">
            <w:pPr>
              <w:numPr>
                <w:ilvl w:val="0"/>
                <w:numId w:val="8"/>
              </w:numPr>
              <w:spacing w:before="120" w:after="120"/>
            </w:pPr>
            <w:r>
              <w:t>ISO 7211-2, Textiles — Woven fabrics — Construction — Methods of analysis — Part 2:</w:t>
            </w:r>
          </w:p>
          <w:p w14:paraId="7759B231">
            <w:pPr>
              <w:numPr>
                <w:ilvl w:val="0"/>
                <w:numId w:val="8"/>
              </w:numPr>
              <w:spacing w:before="120" w:after="120"/>
            </w:pPr>
            <w:r>
              <w:t>ISO 12945-3, Textiles —- Determination of the fabric propensity to surface pilling, fuzzing or matting</w:t>
            </w:r>
          </w:p>
          <w:p w14:paraId="6A92E28A">
            <w:pPr>
              <w:numPr>
                <w:ilvl w:val="1"/>
                <w:numId w:val="8"/>
              </w:numPr>
              <w:spacing w:before="120" w:after="120"/>
            </w:pPr>
            <w:r>
              <w:t>Part 3: Random tumble pilling method</w:t>
            </w:r>
          </w:p>
          <w:p w14:paraId="407E9E3F">
            <w:pPr>
              <w:numPr>
                <w:ilvl w:val="0"/>
                <w:numId w:val="8"/>
              </w:numPr>
              <w:spacing w:before="120" w:after="120"/>
            </w:pPr>
            <w:r>
              <w:t>ISO 12947-2, Textiles — Determination of the abrasion resistance of fabrics by the Martindale method — Part 2: Determination of specimen breakdown</w:t>
            </w:r>
          </w:p>
          <w:p w14:paraId="4A739B1B">
            <w:pPr>
              <w:numPr>
                <w:ilvl w:val="0"/>
                <w:numId w:val="8"/>
              </w:numPr>
              <w:spacing w:before="120" w:after="120"/>
              <w:ind w:left="720" w:leftChars="0" w:hanging="360" w:firstLineChars="0"/>
            </w:pPr>
            <w:r>
              <w:t>ISO 13934-1, Textiles — Tensile properties of fabrics — Part 1: Determination of maximum force and elongation at maximum force using the strip method</w:t>
            </w:r>
          </w:p>
        </w:tc>
      </w:tr>
      <w:tr w14:paraId="354F10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418BD8D">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27E1790C">
            <w:pPr>
              <w:spacing w:before="120" w:after="120"/>
            </w:pPr>
            <w:r>
              <w:rPr>
                <w:b/>
              </w:rPr>
              <w:t>Proposed date of adoption:</w:t>
            </w:r>
            <w:r>
              <w:t xml:space="preserve"> 31 March 2026</w:t>
            </w:r>
          </w:p>
          <w:p w14:paraId="175C0A9E">
            <w:pPr>
              <w:spacing w:after="120"/>
            </w:pPr>
            <w:r>
              <w:rPr>
                <w:b/>
              </w:rPr>
              <w:t>Proposed date of entry into force:</w:t>
            </w:r>
            <w:r>
              <w:t xml:space="preserve"> To be determined</w:t>
            </w:r>
          </w:p>
        </w:tc>
      </w:tr>
      <w:bookmarkEnd w:id="10"/>
      <w:tr w14:paraId="302115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34607C">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76180DEC">
            <w:pPr>
              <w:spacing w:before="120" w:after="120"/>
              <w:rPr>
                <w:rFonts w:hint="eastAsia" w:eastAsia="宋体"/>
                <w:lang w:eastAsia="zh-CN"/>
              </w:rPr>
            </w:pPr>
            <w:r>
              <w:rPr>
                <w:b/>
              </w:rPr>
              <w:t>Final date for comments:</w:t>
            </w:r>
            <w:r>
              <w:t xml:space="preserve"> 27 September 202</w:t>
            </w:r>
            <w:r>
              <w:rPr>
                <w:rFonts w:hint="eastAsia" w:eastAsia="宋体"/>
                <w:lang w:val="en-US" w:eastAsia="zh-CN"/>
              </w:rPr>
              <w:t>5</w:t>
            </w:r>
            <w:r>
              <w:rPr>
                <w:rFonts w:hint="eastAsia" w:eastAsia="宋体"/>
                <w:lang w:eastAsia="zh-CN"/>
              </w:rPr>
              <w:t>；</w:t>
            </w:r>
          </w:p>
          <w:p w14:paraId="0B827C99">
            <w:pPr>
              <w:spacing w:before="120" w:after="120"/>
            </w:pPr>
            <w:r>
              <w:rPr>
                <w:b/>
                <w:bCs/>
              </w:rPr>
              <w:t>Contact details of agency or authority designated to handle comments regarding the notification:</w:t>
            </w:r>
            <w:r>
              <w:t xml:space="preserve"> </w:t>
            </w:r>
          </w:p>
          <w:p w14:paraId="3FDB8BE6">
            <w:r>
              <w:t>Kenya Bureau of Standards (KEBS)</w:t>
            </w:r>
          </w:p>
          <w:p w14:paraId="6492C694">
            <w:r>
              <w:t>KEBS Centre</w:t>
            </w:r>
          </w:p>
          <w:p w14:paraId="6DD903B0">
            <w:r>
              <w:t>Contact Person: Managing Director</w:t>
            </w:r>
          </w:p>
          <w:p w14:paraId="396F74AB">
            <w:r>
              <w:t>Popo Road, off Mombasa Road, Behind Bellevue Cinema</w:t>
            </w:r>
          </w:p>
          <w:p w14:paraId="03DB962C">
            <w:r>
              <w:t>P.O. Box 54974</w:t>
            </w:r>
          </w:p>
          <w:p w14:paraId="1A1CC57E">
            <w:r>
              <w:t>Nairobi 00200</w:t>
            </w:r>
          </w:p>
          <w:p w14:paraId="5CD12C64">
            <w:r>
              <w:t>Tel: +(254) 722 202137; +(254) 724 255242</w:t>
            </w:r>
          </w:p>
          <w:p w14:paraId="5FA0EC51">
            <w:r>
              <w:t>Fax: +(254) 20 609660; +(254) 20 604031</w:t>
            </w:r>
          </w:p>
          <w:p w14:paraId="3B96C029">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4F5245E5">
            <w:pPr>
              <w:spacing w:before="120" w:after="120"/>
              <w:rPr>
                <w:rFonts w:hint="eastAsia" w:eastAsia="宋体"/>
                <w:lang w:eastAsia="zh-CN"/>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tc>
      </w:tr>
      <w:tr w14:paraId="62124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03BB5DF">
            <w:pPr>
              <w:keepNext/>
              <w:keepLines/>
              <w:spacing w:before="120" w:after="120"/>
              <w:jc w:val="left"/>
              <w:rPr>
                <w:b/>
              </w:rPr>
            </w:pPr>
            <w:r>
              <w:rPr>
                <w:b/>
              </w:rPr>
              <w:t>11.</w:t>
            </w:r>
          </w:p>
        </w:tc>
        <w:tc>
          <w:tcPr>
            <w:tcW w:w="8546" w:type="dxa"/>
            <w:tcBorders>
              <w:top w:val="single" w:color="auto" w:sz="6" w:space="0"/>
            </w:tcBorders>
            <w:shd w:val="clear" w:color="auto" w:fill="auto"/>
          </w:tcPr>
          <w:p w14:paraId="0DBCDFA4">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65E9D92D">
            <w:pPr>
              <w:pBdr>
                <w:top w:val="none" w:color="auto" w:sz="0" w:space="4"/>
                <w:bottom w:val="none" w:color="auto" w:sz="0" w:space="4"/>
              </w:pBdr>
              <w:rPr>
                <w:iCs/>
                <w:color w:val="0000FF"/>
                <w:u w:val="single"/>
              </w:rPr>
            </w:pPr>
            <w:r>
              <w:fldChar w:fldCharType="begin"/>
            </w:r>
            <w:r>
              <w:instrText xml:space="preserve"> HYPERLINK "https://members.wto.org/crnattachments/2025/TBT/KEN/25_05157_00_e.pdf" \t "_blank" </w:instrText>
            </w:r>
            <w:r>
              <w:fldChar w:fldCharType="separate"/>
            </w:r>
            <w:r>
              <w:rPr>
                <w:iCs/>
                <w:color w:val="0000FF"/>
                <w:u w:val="single"/>
              </w:rPr>
              <w:t>https://members.wto.org/crnattachments/2025/TBT/KEN/25_05157_00_e.pdf</w:t>
            </w:r>
            <w:r>
              <w:rPr>
                <w:iCs/>
                <w:color w:val="0000FF"/>
                <w:u w:val="single"/>
              </w:rPr>
              <w:fldChar w:fldCharType="end"/>
            </w:r>
          </w:p>
        </w:tc>
      </w:tr>
    </w:tbl>
    <w:p w14:paraId="656EEA2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285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8DC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4F1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C5E9">
    <w:pPr>
      <w:pStyle w:val="58"/>
      <w:pBdr>
        <w:bottom w:val="single" w:color="auto" w:sz="4" w:space="1"/>
      </w:pBdr>
      <w:tabs>
        <w:tab w:val="clear" w:pos="4513"/>
        <w:tab w:val="clear" w:pos="9027"/>
      </w:tabs>
      <w:jc w:val="center"/>
    </w:pPr>
    <w:bookmarkStart w:id="9" w:name="spsSymbolHeader"/>
    <w:r>
      <w:t>G/TBT/N/KEN/1792</w:t>
    </w:r>
    <w:bookmarkEnd w:id="9"/>
  </w:p>
  <w:p w14:paraId="29B539D6">
    <w:pPr>
      <w:pStyle w:val="58"/>
      <w:pBdr>
        <w:bottom w:val="single" w:color="auto" w:sz="4" w:space="1"/>
      </w:pBdr>
      <w:tabs>
        <w:tab w:val="clear" w:pos="4513"/>
        <w:tab w:val="clear" w:pos="9027"/>
      </w:tabs>
      <w:jc w:val="center"/>
    </w:pPr>
  </w:p>
  <w:p w14:paraId="2878977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5569594">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682D3">
    <w:pPr>
      <w:pStyle w:val="58"/>
      <w:pBdr>
        <w:bottom w:val="single" w:color="auto" w:sz="4" w:space="1"/>
      </w:pBdr>
      <w:tabs>
        <w:tab w:val="clear" w:pos="4513"/>
        <w:tab w:val="clear" w:pos="9027"/>
      </w:tabs>
      <w:jc w:val="center"/>
    </w:pPr>
    <w:r>
      <w:t>tbtSymbol</w:t>
    </w:r>
  </w:p>
  <w:p w14:paraId="72D5C538">
    <w:pPr>
      <w:pStyle w:val="58"/>
      <w:pBdr>
        <w:bottom w:val="single" w:color="auto" w:sz="4" w:space="1"/>
      </w:pBdr>
      <w:tabs>
        <w:tab w:val="clear" w:pos="4513"/>
        <w:tab w:val="clear" w:pos="9027"/>
      </w:tabs>
      <w:jc w:val="center"/>
    </w:pPr>
  </w:p>
  <w:p w14:paraId="0DFBFD3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2D006B">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CC4C36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76AEC0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ECF6CB">
          <w:pPr>
            <w:jc w:val="right"/>
            <w:rPr>
              <w:b/>
              <w:color w:val="FF0000"/>
              <w:szCs w:val="16"/>
            </w:rPr>
          </w:pPr>
        </w:p>
      </w:tc>
    </w:tr>
    <w:bookmarkEnd w:id="0"/>
    <w:tr w14:paraId="3C27A39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38A2C3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6CE8742">
          <w:pPr>
            <w:jc w:val="right"/>
            <w:rPr>
              <w:b/>
              <w:szCs w:val="16"/>
            </w:rPr>
          </w:pPr>
        </w:p>
      </w:tc>
    </w:tr>
    <w:tr w14:paraId="00F2BAE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7BB2BDF">
          <w:pPr>
            <w:jc w:val="left"/>
            <w:rPr>
              <w:lang w:eastAsia="en-GB"/>
            </w:rPr>
          </w:pPr>
        </w:p>
      </w:tc>
      <w:tc>
        <w:tcPr>
          <w:tcW w:w="5448" w:type="dxa"/>
          <w:gridSpan w:val="2"/>
          <w:shd w:val="clear" w:color="auto" w:fill="FFFFFF"/>
          <w:tcMar>
            <w:left w:w="108" w:type="dxa"/>
            <w:right w:w="108" w:type="dxa"/>
          </w:tcMar>
        </w:tcPr>
        <w:p w14:paraId="428EF250">
          <w:pPr>
            <w:jc w:val="right"/>
            <w:rPr>
              <w:rFonts w:hint="default" w:eastAsia="宋体"/>
              <w:b/>
              <w:szCs w:val="16"/>
              <w:lang w:val="en-US" w:eastAsia="zh-CN"/>
            </w:rPr>
          </w:pPr>
          <w:bookmarkStart w:id="1" w:name="bmkSymbols"/>
          <w:r>
            <w:rPr>
              <w:b/>
              <w:szCs w:val="16"/>
            </w:rPr>
            <w:t>G/TBT/N/KEN/1</w:t>
          </w:r>
          <w:bookmarkEnd w:id="1"/>
          <w:r>
            <w:rPr>
              <w:rFonts w:hint="eastAsia" w:eastAsia="宋体"/>
              <w:b/>
              <w:szCs w:val="16"/>
              <w:lang w:val="en-US" w:eastAsia="zh-CN"/>
            </w:rPr>
            <w:t>841</w:t>
          </w:r>
        </w:p>
      </w:tc>
    </w:tr>
    <w:tr w14:paraId="4C2B738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AF939EF"/>
      </w:tc>
      <w:tc>
        <w:tcPr>
          <w:tcW w:w="5448" w:type="dxa"/>
          <w:gridSpan w:val="2"/>
          <w:shd w:val="clear" w:color="auto" w:fill="FFFFFF"/>
          <w:tcMar>
            <w:left w:w="108" w:type="dxa"/>
            <w:right w:w="108" w:type="dxa"/>
          </w:tcMar>
          <w:vAlign w:val="center"/>
        </w:tcPr>
        <w:p w14:paraId="463075FE">
          <w:pPr>
            <w:jc w:val="right"/>
            <w:rPr>
              <w:szCs w:val="16"/>
            </w:rPr>
          </w:pPr>
          <w:bookmarkStart w:id="2" w:name="spsDateDistribution"/>
          <w:bookmarkStart w:id="3" w:name="bmkDate"/>
          <w:r>
            <w:rPr>
              <w:szCs w:val="16"/>
            </w:rPr>
            <w:t>4 August 2025</w:t>
          </w:r>
          <w:bookmarkEnd w:id="2"/>
          <w:bookmarkEnd w:id="3"/>
        </w:p>
      </w:tc>
    </w:tr>
    <w:tr w14:paraId="54FF11E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9FAFAB9">
          <w:pPr>
            <w:jc w:val="left"/>
            <w:rPr>
              <w:b/>
            </w:rPr>
          </w:pPr>
          <w:bookmarkStart w:id="4" w:name="bmkSerial"/>
          <w:r>
            <w:rPr>
              <w:b w:val="0"/>
              <w:color w:val="FF0000"/>
            </w:rPr>
            <w:t>(25-</w:t>
          </w:r>
          <w:r>
            <w:rPr>
              <w:rFonts w:hint="eastAsia" w:eastAsia="宋体"/>
              <w:b w:val="0"/>
              <w:color w:val="FF0000"/>
              <w:lang w:val="en-US" w:eastAsia="zh-CN"/>
            </w:rPr>
            <w:t>4989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C7163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E3D1F6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585DA5B3">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BAAB06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9E9912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04837B1"/>
    <w:multiLevelType w:val="singleLevel"/>
    <w:tmpl w:val="704837B1"/>
    <w:lvl w:ilvl="0" w:tentative="0">
      <w:start w:val="5"/>
      <w:numFmt w:val="upperLetter"/>
      <w:suff w:val="nothing"/>
      <w:lvlText w:val="%1-"/>
      <w:lvlJc w:val="left"/>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156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3270D"/>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6632"/>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7CC717A"/>
    <w:rsid w:val="26480F42"/>
    <w:rsid w:val="37926253"/>
    <w:rsid w:val="3F2E4308"/>
    <w:rsid w:val="506908C0"/>
    <w:rsid w:val="696613CE"/>
    <w:rsid w:val="7FB95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634</Words>
  <Characters>3681</Characters>
  <Lines>36</Lines>
  <Paragraphs>10</Paragraphs>
  <TotalTime>0</TotalTime>
  <ScaleCrop>false</ScaleCrop>
  <LinksUpToDate>false</LinksUpToDate>
  <CharactersWithSpaces>4265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2025-04-14T08:49:00Z</dcterms:created>
  <dc:creator>mark louie medidas</dc:creator>
  <dc:description>LDIMD - DTU</dc:description>
  <cp:lastModifiedBy> 譞譞</cp:lastModifiedBy>
  <dcterms:modified xsi:type="dcterms:W3CDTF">2025-08-04T16:13:02Z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4E29BCDC2ABB4C20AEFA9D65C2452E08_12</vt:lpwstr>
  </property>
</Properties>
</file>