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36FB8">
      <w:pPr>
        <w:pStyle w:val="84"/>
        <w:rPr>
          <w:caps w:val="0"/>
          <w:kern w:val="0"/>
        </w:rPr>
      </w:pPr>
      <w:r>
        <w:rPr>
          <w:caps w:val="0"/>
          <w:kern w:val="0"/>
        </w:rPr>
        <w:t>NOTIFICATION</w:t>
      </w:r>
    </w:p>
    <w:p w14:paraId="0831D3FE">
      <w:pPr>
        <w:jc w:val="center"/>
      </w:pPr>
      <w:r>
        <w:t>The following notification is being circulated in accordance with Article 10.6</w:t>
      </w:r>
    </w:p>
    <w:p w14:paraId="7A9E6B3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861C1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A8358A6">
            <w:pPr>
              <w:spacing w:before="120" w:after="120"/>
              <w:jc w:val="left"/>
            </w:pPr>
            <w:r>
              <w:rPr>
                <w:b/>
              </w:rPr>
              <w:t>1.</w:t>
            </w:r>
          </w:p>
        </w:tc>
        <w:tc>
          <w:tcPr>
            <w:tcW w:w="8546" w:type="dxa"/>
            <w:tcBorders>
              <w:bottom w:val="single" w:color="auto" w:sz="6" w:space="0"/>
            </w:tcBorders>
            <w:shd w:val="clear" w:color="auto" w:fill="auto"/>
          </w:tcPr>
          <w:p w14:paraId="0BEC98F9">
            <w:pPr>
              <w:spacing w:before="120" w:after="120"/>
            </w:pPr>
            <w:r>
              <w:rPr>
                <w:b/>
              </w:rPr>
              <w:t>Notifying Member:</w:t>
            </w:r>
            <w:r>
              <w:t xml:space="preserve"> </w:t>
            </w:r>
            <w:r>
              <w:rPr>
                <w:u w:val="single"/>
              </w:rPr>
              <w:t>KENYA</w:t>
            </w:r>
          </w:p>
          <w:p w14:paraId="0EB53292">
            <w:pPr>
              <w:spacing w:after="120"/>
            </w:pPr>
            <w:r>
              <w:rPr>
                <w:b/>
              </w:rPr>
              <w:t>If applicable, name of local government involved (Article 3.2 and 7.2):</w:t>
            </w:r>
            <w:r>
              <w:t xml:space="preserve"> </w:t>
            </w:r>
          </w:p>
        </w:tc>
      </w:tr>
      <w:tr w14:paraId="3364A8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4F5A32">
            <w:pPr>
              <w:spacing w:before="120" w:after="120"/>
              <w:jc w:val="left"/>
            </w:pPr>
            <w:r>
              <w:rPr>
                <w:b/>
              </w:rPr>
              <w:t>2.</w:t>
            </w:r>
          </w:p>
        </w:tc>
        <w:tc>
          <w:tcPr>
            <w:tcW w:w="8546" w:type="dxa"/>
            <w:tcBorders>
              <w:top w:val="single" w:color="auto" w:sz="6" w:space="0"/>
              <w:bottom w:val="single" w:color="auto" w:sz="6" w:space="0"/>
            </w:tcBorders>
            <w:shd w:val="clear" w:color="auto" w:fill="auto"/>
          </w:tcPr>
          <w:p w14:paraId="3443F5EC">
            <w:pPr>
              <w:spacing w:before="120" w:after="120"/>
            </w:pPr>
            <w:r>
              <w:rPr>
                <w:b/>
              </w:rPr>
              <w:t>Agency responsible:</w:t>
            </w:r>
            <w:r>
              <w:t xml:space="preserve"> </w:t>
            </w:r>
          </w:p>
          <w:p w14:paraId="70DCA658">
            <w:r>
              <w:t>Kenya Bureau of Standards</w:t>
            </w:r>
          </w:p>
          <w:p w14:paraId="5BE67B53">
            <w:r>
              <w:t>P.O. Box: 54974-00200, Nairobi, Kenya</w:t>
            </w:r>
          </w:p>
          <w:p w14:paraId="5256109C">
            <w:pPr>
              <w:spacing w:after="120"/>
            </w:pPr>
            <w:r>
              <w:t xml:space="preserve">Telephone: + (254) 020 605490, 605506/6948258 </w:t>
            </w:r>
          </w:p>
          <w:p w14:paraId="65551925">
            <w:pPr>
              <w:spacing w:after="120"/>
            </w:pPr>
            <w:r>
              <w:t xml:space="preserve">Fax: + (254) 020 609660/609665 </w:t>
            </w:r>
          </w:p>
          <w:p w14:paraId="0AC08AB7">
            <w:pPr>
              <w:numPr>
                <w:ilvl w:val="0"/>
                <w:numId w:val="7"/>
              </w:numPr>
              <w:spacing w:after="120"/>
            </w:pPr>
            <w:r>
              <w:t xml:space="preserv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t>
            </w:r>
          </w:p>
          <w:p w14:paraId="7EEE1A8C">
            <w:pPr>
              <w:numPr>
                <w:ilvl w:val="0"/>
                <w:numId w:val="0"/>
              </w:numPr>
              <w:spacing w:after="120"/>
              <w:rPr>
                <w:color w:val="0000FF"/>
                <w:u w:val="single"/>
              </w:rPr>
            </w:pPr>
            <w:r>
              <w:t xml:space="preserve">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A51E90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3F29A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247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D61351B">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D5934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D7ACF">
            <w:pPr>
              <w:spacing w:before="120" w:after="120"/>
              <w:jc w:val="left"/>
            </w:pPr>
            <w:r>
              <w:rPr>
                <w:b/>
              </w:rPr>
              <w:t>4.</w:t>
            </w:r>
          </w:p>
        </w:tc>
        <w:tc>
          <w:tcPr>
            <w:tcW w:w="8546" w:type="dxa"/>
            <w:tcBorders>
              <w:top w:val="single" w:color="auto" w:sz="6" w:space="0"/>
              <w:bottom w:val="single" w:color="auto" w:sz="6" w:space="0"/>
            </w:tcBorders>
            <w:shd w:val="clear" w:color="auto" w:fill="auto"/>
          </w:tcPr>
          <w:p w14:paraId="02CCFED7">
            <w:pPr>
              <w:spacing w:before="120" w:after="120"/>
            </w:pPr>
            <w:r>
              <w:rPr>
                <w:b/>
              </w:rPr>
              <w:t>Products covered (HS or CCCN where applicable, otherwise national tariff heading. ICS numbers may be provided in addition, where applicable):</w:t>
            </w:r>
            <w:r>
              <w:t xml:space="preserve"> Synthetic organic colouring matter, whether or not chemically defined; preparations based on synthetic organic colouring matter of a kind used to dye fabrics or produce colorant preparations; synthetic organic products of a kind used as fluorescent brightening agents or as luminophores, whether or not chemically defined (excl. preparations of heading 3207, 3208, 3209, 3210, 3213 and 3215) (HS code(s): 3204); Products of the textile industry (ICS code(s): 59.080)</w:t>
            </w:r>
          </w:p>
        </w:tc>
      </w:tr>
      <w:tr w14:paraId="6D6D78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5163FB">
            <w:pPr>
              <w:spacing w:before="120" w:after="120"/>
              <w:jc w:val="left"/>
            </w:pPr>
            <w:r>
              <w:rPr>
                <w:b/>
              </w:rPr>
              <w:t>5.</w:t>
            </w:r>
          </w:p>
        </w:tc>
        <w:tc>
          <w:tcPr>
            <w:tcW w:w="8546" w:type="dxa"/>
            <w:tcBorders>
              <w:top w:val="single" w:color="auto" w:sz="6" w:space="0"/>
              <w:bottom w:val="single" w:color="auto" w:sz="6" w:space="0"/>
            </w:tcBorders>
            <w:shd w:val="clear" w:color="auto" w:fill="auto"/>
          </w:tcPr>
          <w:p w14:paraId="236F25B2">
            <w:pPr>
              <w:spacing w:before="120" w:after="120"/>
            </w:pPr>
            <w:r>
              <w:rPr>
                <w:b/>
              </w:rPr>
              <w:t>Title, number of pages and language(s) of the notified document:</w:t>
            </w:r>
            <w:r>
              <w:t xml:space="preserve"> Draft African Standard, DARS 1567-1: School wear fabrics— Part 1: Basic requirements; (9 page(s), in English)</w:t>
            </w:r>
          </w:p>
        </w:tc>
      </w:tr>
      <w:tr w14:paraId="0EDCD2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BB1AFE9">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8EA79DB">
            <w:pPr>
              <w:spacing w:before="120" w:after="120"/>
              <w:rPr>
                <w:b/>
              </w:rPr>
            </w:pPr>
            <w:r>
              <w:rPr>
                <w:b/>
              </w:rPr>
              <w:t>Description of content:</w:t>
            </w:r>
            <w:r>
              <w:t xml:space="preserve"> This part of DARS 1567 covers the definitions, basic requirements for packing, labelling, marking of fabrics that are suitable for use in the manufacture of school clothing (uniform). Specific requirements are covered by the relevant parts of ARS 1567.</w:t>
            </w:r>
          </w:p>
        </w:tc>
      </w:tr>
      <w:tr w14:paraId="46BA9E7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871AB0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BBA5779">
            <w:pPr>
              <w:spacing w:before="120" w:after="120"/>
              <w:rPr>
                <w:b/>
              </w:rPr>
            </w:pPr>
            <w:r>
              <w:rPr>
                <w:b/>
              </w:rPr>
              <w:t>Objective and rationale, including the nature of urgent problems where applicable:</w:t>
            </w:r>
            <w:r>
              <w:t xml:space="preserve"> Consumer information, labelling; Quality requirements; Harmonization; Reducing trade barriers and facilitating trade</w:t>
            </w:r>
          </w:p>
        </w:tc>
      </w:tr>
      <w:tr w14:paraId="0F61C03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05D1498">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6CAD548B">
            <w:pPr>
              <w:spacing w:before="120" w:after="120"/>
              <w:rPr>
                <w:bCs/>
              </w:rPr>
            </w:pPr>
            <w:r>
              <w:rPr>
                <w:b/>
              </w:rPr>
              <w:t>Relevant documents:</w:t>
            </w:r>
            <w:r>
              <w:t xml:space="preserve"> </w:t>
            </w:r>
          </w:p>
          <w:p w14:paraId="73328DFC">
            <w:pPr>
              <w:numPr>
                <w:ilvl w:val="0"/>
                <w:numId w:val="8"/>
              </w:numPr>
              <w:spacing w:before="120" w:after="120"/>
            </w:pPr>
            <w:r>
              <w:t>ARS 1551, Textiles and textile merchandise — Terms and definitions</w:t>
            </w:r>
          </w:p>
          <w:p w14:paraId="4F46D23B">
            <w:pPr>
              <w:numPr>
                <w:ilvl w:val="0"/>
                <w:numId w:val="8"/>
              </w:numPr>
              <w:spacing w:before="120" w:after="120"/>
            </w:pPr>
            <w:r>
              <w:t>ARS 1568, School clothing (all parts)</w:t>
            </w:r>
          </w:p>
          <w:p w14:paraId="3F32EC72">
            <w:pPr>
              <w:numPr>
                <w:ilvl w:val="0"/>
                <w:numId w:val="8"/>
              </w:numPr>
              <w:spacing w:before="120" w:after="120"/>
            </w:pPr>
            <w:r>
              <w:t>ARS 1569, The labelling and marking of textiles and household textile articles</w:t>
            </w:r>
          </w:p>
          <w:p w14:paraId="6AD86C8B">
            <w:pPr>
              <w:numPr>
                <w:ilvl w:val="0"/>
                <w:numId w:val="8"/>
              </w:numPr>
              <w:spacing w:before="120" w:after="120"/>
            </w:pPr>
            <w:r>
              <w:t>ISO 139, Textiles — Standard atmospheres for conditioning and testing</w:t>
            </w:r>
          </w:p>
          <w:p w14:paraId="30193B0E">
            <w:pPr>
              <w:numPr>
                <w:ilvl w:val="0"/>
                <w:numId w:val="8"/>
              </w:numPr>
              <w:spacing w:before="120" w:after="120"/>
            </w:pPr>
            <w:r>
              <w:t>ISO 3951-1, Sampling procedures for inspection by variables — Part 1: Specification for single sampling plans indexed by acceptance quality limit (AQL) for lot-by-lot inspection for a single quality characteristic and a single AQL</w:t>
            </w:r>
          </w:p>
          <w:p w14:paraId="14837C69">
            <w:pPr>
              <w:numPr>
                <w:ilvl w:val="0"/>
                <w:numId w:val="8"/>
              </w:numPr>
              <w:spacing w:before="120" w:after="120"/>
            </w:pPr>
            <w:r>
              <w:t>ISO 3951-2, Sampling procedures for inspection by variables — Part 2: General specification for single sampling plans indexed by acceptance quality limit (AQL) for lot-by-lot inspection of independent quality characteristics</w:t>
            </w:r>
          </w:p>
          <w:p w14:paraId="05301297">
            <w:pPr>
              <w:numPr>
                <w:ilvl w:val="0"/>
                <w:numId w:val="8"/>
              </w:numPr>
              <w:spacing w:before="120" w:after="120"/>
            </w:pPr>
            <w:r>
              <w:t>ISO 3951-3, Sampling procedures for inspection by variables — Part 3: Double sampling schemes indexed by acceptance quality limit (AQL) for lot-by-lot inspection</w:t>
            </w:r>
          </w:p>
          <w:p w14:paraId="6C2B8C7C">
            <w:pPr>
              <w:numPr>
                <w:ilvl w:val="0"/>
                <w:numId w:val="8"/>
              </w:numPr>
              <w:spacing w:before="120" w:after="120"/>
            </w:pPr>
            <w:r>
              <w:t>ISO 3951-4, Sampling procedures for inspection by variables — Part 4: Procedures for assessment of declared quality levels</w:t>
            </w:r>
          </w:p>
          <w:p w14:paraId="59F0A87C">
            <w:pPr>
              <w:numPr>
                <w:ilvl w:val="0"/>
                <w:numId w:val="8"/>
              </w:numPr>
              <w:spacing w:before="120" w:after="120"/>
            </w:pPr>
            <w:r>
              <w:t>ISO 3951-5, Sampling procedures for inspection by variables — Part 5: Sequential sampling plans indexed by acceptance quality limit (AQL) for inspection by variables (known standard deviation)</w:t>
            </w:r>
          </w:p>
          <w:p w14:paraId="3C5211CA">
            <w:pPr>
              <w:numPr>
                <w:ilvl w:val="0"/>
                <w:numId w:val="8"/>
              </w:numPr>
              <w:spacing w:before="120" w:after="120"/>
            </w:pPr>
            <w:r>
              <w:t>ISO 5084, Textiles — Determination of thickness of textiles and textile products</w:t>
            </w:r>
          </w:p>
          <w:p w14:paraId="6A91B6C5">
            <w:pPr>
              <w:numPr>
                <w:ilvl w:val="0"/>
                <w:numId w:val="8"/>
              </w:numPr>
              <w:spacing w:before="120" w:after="120"/>
            </w:pPr>
            <w:r>
              <w:t>ISO 13015, Woven fabrics— Distortion — Determination of skew and bow</w:t>
            </w:r>
          </w:p>
          <w:p w14:paraId="7461A1F6">
            <w:pPr>
              <w:numPr>
                <w:ilvl w:val="0"/>
                <w:numId w:val="8"/>
              </w:numPr>
              <w:spacing w:before="120" w:after="120"/>
              <w:ind w:left="720" w:leftChars="0" w:hanging="360" w:firstLineChars="0"/>
            </w:pPr>
            <w:r>
              <w:t>ISO 22198, Textiles — Fabrics— Determination of width and length</w:t>
            </w:r>
          </w:p>
        </w:tc>
      </w:tr>
      <w:tr w14:paraId="354F10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418BD8D">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7FF94B2D">
            <w:pPr>
              <w:spacing w:before="120" w:after="120"/>
            </w:pPr>
            <w:r>
              <w:rPr>
                <w:b/>
              </w:rPr>
              <w:t>Proposed date of adoption:</w:t>
            </w:r>
            <w:r>
              <w:t xml:space="preserve"> 31 March 2025</w:t>
            </w:r>
          </w:p>
          <w:p w14:paraId="6A6EC803">
            <w:pPr>
              <w:spacing w:after="120"/>
            </w:pPr>
            <w:r>
              <w:rPr>
                <w:b/>
              </w:rPr>
              <w:t>Proposed date of entry into force:</w:t>
            </w:r>
            <w:r>
              <w:t xml:space="preserve"> To be determined</w:t>
            </w:r>
          </w:p>
        </w:tc>
      </w:tr>
      <w:tr w14:paraId="302115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34607C">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76180DEC">
            <w:pPr>
              <w:spacing w:before="120" w:after="120"/>
              <w:rPr>
                <w:rFonts w:hint="eastAsia" w:eastAsia="宋体"/>
                <w:lang w:eastAsia="zh-CN"/>
              </w:rPr>
            </w:pPr>
            <w:r>
              <w:rPr>
                <w:b/>
              </w:rPr>
              <w:t>Final date for comments:</w:t>
            </w:r>
            <w:r>
              <w:t xml:space="preserve"> 27 September 2026</w:t>
            </w:r>
            <w:r>
              <w:rPr>
                <w:rFonts w:hint="eastAsia" w:eastAsia="宋体"/>
                <w:lang w:eastAsia="zh-CN"/>
              </w:rPr>
              <w:t>；</w:t>
            </w:r>
          </w:p>
          <w:p w14:paraId="0B827C99">
            <w:pPr>
              <w:spacing w:before="120" w:after="120"/>
            </w:pPr>
            <w:r>
              <w:rPr>
                <w:b/>
                <w:bCs/>
              </w:rPr>
              <w:t>Contact details of agency or authority designated to handle comments regarding the notification:</w:t>
            </w:r>
            <w:r>
              <w:t xml:space="preserve"> </w:t>
            </w:r>
          </w:p>
          <w:p w14:paraId="3FDB8BE6">
            <w:r>
              <w:t>Kenya Bureau of Standards (KEBS)</w:t>
            </w:r>
          </w:p>
          <w:p w14:paraId="6492C694">
            <w:r>
              <w:t>KEBS Centre</w:t>
            </w:r>
          </w:p>
          <w:p w14:paraId="6DD903B0">
            <w:r>
              <w:t>Contact Person: Managing Director</w:t>
            </w:r>
          </w:p>
          <w:p w14:paraId="396F74AB">
            <w:r>
              <w:t>Popo Road, off Mombasa Road, Behind Bellevue Cinema</w:t>
            </w:r>
          </w:p>
          <w:p w14:paraId="03DB962C">
            <w:r>
              <w:t>P.O. Box 54974</w:t>
            </w:r>
          </w:p>
          <w:p w14:paraId="1A1CC57E">
            <w:r>
              <w:t>Nairobi 00200</w:t>
            </w:r>
          </w:p>
          <w:p w14:paraId="5CD12C64">
            <w:r>
              <w:t>Tel: +(254) 722 202137; +(254) 724 255242</w:t>
            </w:r>
          </w:p>
          <w:p w14:paraId="5FA0EC51">
            <w:r>
              <w:t>Fax: +(254) 20 609660; +(254) 20 604031</w:t>
            </w:r>
          </w:p>
          <w:p w14:paraId="3B96C029">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4F5245E5">
            <w:pPr>
              <w:spacing w:before="120" w:after="120"/>
              <w:rPr>
                <w:rFonts w:hint="eastAsia" w:eastAsia="宋体"/>
                <w:lang w:eastAsia="zh-CN"/>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bookmarkStart w:id="10" w:name="_GoBack"/>
            <w:bookmarkEnd w:id="10"/>
          </w:p>
        </w:tc>
      </w:tr>
      <w:tr w14:paraId="62124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03BB5DF">
            <w:pPr>
              <w:keepNext/>
              <w:keepLines/>
              <w:spacing w:before="120" w:after="120"/>
              <w:jc w:val="left"/>
              <w:rPr>
                <w:b/>
              </w:rPr>
            </w:pPr>
            <w:r>
              <w:rPr>
                <w:b/>
              </w:rPr>
              <w:t>11.</w:t>
            </w:r>
          </w:p>
        </w:tc>
        <w:tc>
          <w:tcPr>
            <w:tcW w:w="8546" w:type="dxa"/>
            <w:tcBorders>
              <w:top w:val="single" w:color="auto" w:sz="6" w:space="0"/>
            </w:tcBorders>
            <w:shd w:val="clear" w:color="auto" w:fill="auto"/>
          </w:tcPr>
          <w:p w14:paraId="0DBCDFA4">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209CEF15">
            <w:pPr>
              <w:rPr>
                <w:iCs/>
              </w:rPr>
            </w:pPr>
            <w:r>
              <w:rPr>
                <w:iCs/>
              </w:rPr>
              <w:t>Kenya Bureau of Standards</w:t>
            </w:r>
          </w:p>
          <w:p w14:paraId="3F8CAA75">
            <w:pPr>
              <w:rPr>
                <w:iCs/>
              </w:rPr>
            </w:pPr>
            <w:r>
              <w:rPr>
                <w:iCs/>
              </w:rPr>
              <w:t>P.O. Box: 54974-00200, Nairobi, Kenya</w:t>
            </w:r>
          </w:p>
          <w:p w14:paraId="775E2AFF">
            <w:pPr>
              <w:pBdr>
                <w:top w:val="none" w:color="auto" w:sz="0" w:space="4"/>
                <w:bottom w:val="none" w:color="auto" w:sz="0" w:space="4"/>
              </w:pBdr>
              <w:rPr>
                <w:iCs/>
                <w:color w:val="0000FF"/>
                <w:u w:val="single"/>
              </w:rPr>
            </w:pPr>
            <w:r>
              <w:rPr>
                <w:iCs/>
              </w:rPr>
              <w:t xml:space="preserve">Telephone: + (254) 020 605490, 605506/6948258 </w:t>
            </w:r>
            <w:r>
              <w:rPr>
                <w:rFonts w:hint="eastAsia" w:eastAsia="宋体"/>
                <w:iCs/>
                <w:lang w:val="en-US" w:eastAsia="zh-CN"/>
              </w:rPr>
              <w:t xml:space="preserve">  </w:t>
            </w:r>
            <w:r>
              <w:rPr>
                <w:iCs/>
              </w:rPr>
              <w:t xml:space="preserve">Fax: + (254) 020 609660/609665 </w:t>
            </w:r>
            <w:r>
              <w:rPr>
                <w:rFonts w:hint="eastAsia" w:eastAsia="宋体"/>
                <w:iCs/>
                <w:lang w:val="en-US" w:eastAsia="zh-CN"/>
              </w:rPr>
              <w:t xml:space="preserve">  </w:t>
            </w:r>
            <w:r>
              <w:rPr>
                <w:iCs/>
              </w:rPr>
              <w:t xml:space="preserve">E-mail: </w:t>
            </w:r>
            <w:r>
              <w:fldChar w:fldCharType="begin"/>
            </w:r>
            <w:r>
              <w:instrText xml:space="preserve"> HYPERLINK "mailto:info@kebs.org" </w:instrText>
            </w:r>
            <w:r>
              <w:fldChar w:fldCharType="separate"/>
            </w:r>
            <w:r>
              <w:rPr>
                <w:iCs/>
                <w:color w:val="0000FF"/>
                <w:u w:val="single"/>
              </w:rPr>
              <w:t>info@kebs.org</w:t>
            </w:r>
            <w:r>
              <w:rPr>
                <w:iCs/>
                <w:color w:val="0000FF"/>
                <w:u w:val="single"/>
              </w:rPr>
              <w:fldChar w:fldCharType="end"/>
            </w:r>
            <w:r>
              <w:rPr>
                <w:iCs/>
              </w:rPr>
              <w:t xml:space="preserve">; </w:t>
            </w:r>
            <w:r>
              <w:rPr>
                <w:rFonts w:hint="eastAsia" w:eastAsia="宋体"/>
                <w:iCs/>
                <w:lang w:val="en-US" w:eastAsia="zh-CN"/>
              </w:rPr>
              <w:t xml:space="preserve">  </w:t>
            </w:r>
            <w:r>
              <w:rPr>
                <w:iCs/>
              </w:rPr>
              <w:t xml:space="preserve">Website: </w:t>
            </w:r>
            <w:r>
              <w:fldChar w:fldCharType="begin"/>
            </w:r>
            <w:r>
              <w:instrText xml:space="preserve"> HYPERLINK "http://www.kebs.org" \t "_blank" </w:instrText>
            </w:r>
            <w:r>
              <w:fldChar w:fldCharType="separate"/>
            </w:r>
            <w:r>
              <w:rPr>
                <w:iCs/>
                <w:color w:val="0000FF"/>
                <w:u w:val="single"/>
              </w:rPr>
              <w:t>http://www.kebs.org</w:t>
            </w:r>
            <w:r>
              <w:rPr>
                <w:iCs/>
                <w:color w:val="0000FF"/>
                <w:u w:val="single"/>
              </w:rPr>
              <w:fldChar w:fldCharType="end"/>
            </w:r>
          </w:p>
          <w:p w14:paraId="32474EF8">
            <w:pPr>
              <w:pBdr>
                <w:top w:val="none" w:color="auto" w:sz="0" w:space="4"/>
                <w:bottom w:val="none" w:color="auto" w:sz="0" w:space="4"/>
              </w:pBdr>
              <w:rPr>
                <w:iCs/>
                <w:color w:val="0000FF"/>
                <w:u w:val="single"/>
              </w:rPr>
            </w:pPr>
          </w:p>
          <w:p w14:paraId="6885F5E5">
            <w:pPr>
              <w:pBdr>
                <w:top w:val="none" w:color="auto" w:sz="0" w:space="4"/>
                <w:bottom w:val="none" w:color="auto" w:sz="0" w:space="4"/>
              </w:pBdr>
              <w:rPr>
                <w:iCs/>
              </w:rPr>
            </w:pPr>
            <w:r>
              <w:fldChar w:fldCharType="begin"/>
            </w:r>
            <w:r>
              <w:instrText xml:space="preserve"> HYPERLINK "https://members.wto.org/crnattachments/2025/TBT/KEN/25_05155_00_e.pdf" \t "_blank" </w:instrText>
            </w:r>
            <w:r>
              <w:fldChar w:fldCharType="separate"/>
            </w:r>
            <w:r>
              <w:rPr>
                <w:iCs/>
                <w:color w:val="0000FF"/>
                <w:u w:val="single"/>
              </w:rPr>
              <w:t>https://members.wto.org/crnattachments/2025/TBT/KEN/25_05155_00_e.pdf</w:t>
            </w:r>
            <w:r>
              <w:rPr>
                <w:iCs/>
                <w:color w:val="0000FF"/>
                <w:u w:val="single"/>
              </w:rPr>
              <w:fldChar w:fldCharType="end"/>
            </w:r>
          </w:p>
          <w:p w14:paraId="65E9D92D">
            <w:pPr>
              <w:pBdr>
                <w:top w:val="none" w:color="auto" w:sz="0" w:space="4"/>
                <w:bottom w:val="none" w:color="auto" w:sz="0" w:space="4"/>
              </w:pBdr>
              <w:rPr>
                <w:iCs/>
                <w:color w:val="0000FF"/>
                <w:u w:val="single"/>
              </w:rPr>
            </w:pPr>
          </w:p>
        </w:tc>
      </w:tr>
    </w:tbl>
    <w:p w14:paraId="4B2F6F62"/>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285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8DC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4F1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C5E9">
    <w:pPr>
      <w:pStyle w:val="58"/>
      <w:pBdr>
        <w:bottom w:val="single" w:color="auto" w:sz="4" w:space="1"/>
      </w:pBdr>
      <w:tabs>
        <w:tab w:val="clear" w:pos="4513"/>
        <w:tab w:val="clear" w:pos="9027"/>
      </w:tabs>
      <w:jc w:val="center"/>
    </w:pPr>
    <w:bookmarkStart w:id="9" w:name="spsSymbolHeader"/>
    <w:r>
      <w:t>G/TBT/N/KEN/1792</w:t>
    </w:r>
    <w:bookmarkEnd w:id="9"/>
  </w:p>
  <w:p w14:paraId="29B539D6">
    <w:pPr>
      <w:pStyle w:val="58"/>
      <w:pBdr>
        <w:bottom w:val="single" w:color="auto" w:sz="4" w:space="1"/>
      </w:pBdr>
      <w:tabs>
        <w:tab w:val="clear" w:pos="4513"/>
        <w:tab w:val="clear" w:pos="9027"/>
      </w:tabs>
      <w:jc w:val="center"/>
    </w:pPr>
  </w:p>
  <w:p w14:paraId="2878977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5569594">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682D3">
    <w:pPr>
      <w:pStyle w:val="58"/>
      <w:pBdr>
        <w:bottom w:val="single" w:color="auto" w:sz="4" w:space="1"/>
      </w:pBdr>
      <w:tabs>
        <w:tab w:val="clear" w:pos="4513"/>
        <w:tab w:val="clear" w:pos="9027"/>
      </w:tabs>
      <w:jc w:val="center"/>
    </w:pPr>
    <w:r>
      <w:t>tbtSymbol</w:t>
    </w:r>
  </w:p>
  <w:p w14:paraId="72D5C538">
    <w:pPr>
      <w:pStyle w:val="58"/>
      <w:pBdr>
        <w:bottom w:val="single" w:color="auto" w:sz="4" w:space="1"/>
      </w:pBdr>
      <w:tabs>
        <w:tab w:val="clear" w:pos="4513"/>
        <w:tab w:val="clear" w:pos="9027"/>
      </w:tabs>
      <w:jc w:val="center"/>
    </w:pPr>
  </w:p>
  <w:p w14:paraId="0DFBFD3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2D006B">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CC4C36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76AEC0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ECF6CB">
          <w:pPr>
            <w:jc w:val="right"/>
            <w:rPr>
              <w:b/>
              <w:color w:val="FF0000"/>
              <w:szCs w:val="16"/>
            </w:rPr>
          </w:pPr>
        </w:p>
      </w:tc>
    </w:tr>
    <w:bookmarkEnd w:id="0"/>
    <w:tr w14:paraId="3C27A39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38A2C3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6CE8742">
          <w:pPr>
            <w:jc w:val="right"/>
            <w:rPr>
              <w:b/>
              <w:szCs w:val="16"/>
            </w:rPr>
          </w:pPr>
        </w:p>
      </w:tc>
    </w:tr>
    <w:tr w14:paraId="00F2BAE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7BB2BDF">
          <w:pPr>
            <w:jc w:val="left"/>
            <w:rPr>
              <w:lang w:eastAsia="en-GB"/>
            </w:rPr>
          </w:pPr>
        </w:p>
      </w:tc>
      <w:tc>
        <w:tcPr>
          <w:tcW w:w="5448" w:type="dxa"/>
          <w:gridSpan w:val="2"/>
          <w:shd w:val="clear" w:color="auto" w:fill="FFFFFF"/>
          <w:tcMar>
            <w:left w:w="108" w:type="dxa"/>
            <w:right w:w="108" w:type="dxa"/>
          </w:tcMar>
        </w:tcPr>
        <w:p w14:paraId="428EF250">
          <w:pPr>
            <w:jc w:val="right"/>
            <w:rPr>
              <w:rFonts w:hint="default" w:eastAsia="宋体"/>
              <w:b/>
              <w:szCs w:val="16"/>
              <w:lang w:val="en-US" w:eastAsia="zh-CN"/>
            </w:rPr>
          </w:pPr>
          <w:bookmarkStart w:id="1" w:name="bmkSymbols"/>
          <w:r>
            <w:rPr>
              <w:b/>
              <w:szCs w:val="16"/>
            </w:rPr>
            <w:t>G/TBT/N/KEN/1</w:t>
          </w:r>
          <w:bookmarkEnd w:id="1"/>
          <w:r>
            <w:rPr>
              <w:rFonts w:hint="eastAsia" w:eastAsia="宋体"/>
              <w:b/>
              <w:szCs w:val="16"/>
              <w:lang w:val="en-US" w:eastAsia="zh-CN"/>
            </w:rPr>
            <w:t>839</w:t>
          </w:r>
        </w:p>
      </w:tc>
    </w:tr>
    <w:tr w14:paraId="4C2B738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AF939EF"/>
      </w:tc>
      <w:tc>
        <w:tcPr>
          <w:tcW w:w="5448" w:type="dxa"/>
          <w:gridSpan w:val="2"/>
          <w:shd w:val="clear" w:color="auto" w:fill="FFFFFF"/>
          <w:tcMar>
            <w:left w:w="108" w:type="dxa"/>
            <w:right w:w="108" w:type="dxa"/>
          </w:tcMar>
          <w:vAlign w:val="center"/>
        </w:tcPr>
        <w:p w14:paraId="463075FE">
          <w:pPr>
            <w:jc w:val="right"/>
            <w:rPr>
              <w:szCs w:val="16"/>
            </w:rPr>
          </w:pPr>
          <w:bookmarkStart w:id="2" w:name="bmkDate"/>
          <w:bookmarkStart w:id="3" w:name="spsDateDistribution"/>
          <w:r>
            <w:rPr>
              <w:szCs w:val="16"/>
            </w:rPr>
            <w:t>4 August 2025</w:t>
          </w:r>
          <w:bookmarkEnd w:id="2"/>
          <w:bookmarkEnd w:id="3"/>
        </w:p>
      </w:tc>
    </w:tr>
    <w:tr w14:paraId="54FF11E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9FAFAB9">
          <w:pPr>
            <w:jc w:val="left"/>
            <w:rPr>
              <w:b/>
            </w:rPr>
          </w:pPr>
          <w:bookmarkStart w:id="4" w:name="bmkSerial"/>
          <w:r>
            <w:rPr>
              <w:b w:val="0"/>
              <w:color w:val="FF0000"/>
            </w:rPr>
            <w:t>(25-</w:t>
          </w:r>
          <w:r>
            <w:rPr>
              <w:rFonts w:hint="eastAsia" w:eastAsia="宋体"/>
              <w:b w:val="0"/>
              <w:color w:val="FF0000"/>
              <w:lang w:val="en-US" w:eastAsia="zh-CN"/>
            </w:rPr>
            <w:t>4984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C7163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E3D1F6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585DA5B3">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BAAB06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9E9912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04837B1"/>
    <w:multiLevelType w:val="singleLevel"/>
    <w:tmpl w:val="704837B1"/>
    <w:lvl w:ilvl="0" w:tentative="0">
      <w:start w:val="5"/>
      <w:numFmt w:val="upperLetter"/>
      <w:suff w:val="nothing"/>
      <w:lvlText w:val="%1-"/>
      <w:lvlJc w:val="left"/>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156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3270D"/>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6632"/>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7CC717A"/>
    <w:rsid w:val="26480F42"/>
    <w:rsid w:val="37926253"/>
    <w:rsid w:val="3F2E4308"/>
    <w:rsid w:val="69661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uiPriority="99" w:name="Table Grid 3"/>
    <w:lsdException w:uiPriority="99" w:name="Table Grid 4"/>
    <w:lsdException w:qFormat="1" w:uiPriority="99" w:name="Table Grid 5"/>
    <w:lsdException w:uiPriority="99" w:name="Table Grid 6"/>
    <w:lsdException w:uiPriority="99" w:name="Table Grid 7"/>
    <w:lsdException w:uiPriority="99" w:name="Table Grid 8"/>
    <w:lsdException w:qFormat="1" w:uiPriority="99" w:name="Table List 1"/>
    <w:lsdException w:qFormat="1" w:uiPriority="99" w:name="Table List 2"/>
    <w:lsdException w:qFormat="1" w:uiPriority="99" w:name="Table List 3"/>
    <w:lsdException w:qFormat="1" w:uiPriority="99" w:name="Table List 4"/>
    <w:lsdException w:uiPriority="99" w:name="Table List 5"/>
    <w:lsdException w:qFormat="1" w:uiPriority="99" w:name="Table List 6"/>
    <w:lsdException w:qFormat="1" w:uiPriority="99" w:name="Table List 7"/>
    <w:lsdException w:uiPriority="99" w:name="Table List 8"/>
    <w:lsdException w:qFormat="1" w:uiPriority="99" w:name="Table 3D effects 1"/>
    <w:lsdException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599</Words>
  <Characters>3374</Characters>
  <Lines>36</Lines>
  <Paragraphs>10</Paragraphs>
  <TotalTime>0</TotalTime>
  <ScaleCrop>false</ScaleCrop>
  <LinksUpToDate>false</LinksUpToDate>
  <CharactersWithSpaces>3921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2025-04-14T08:49:00Z</dcterms:created>
  <dc:creator>mark louie medidas</dc:creator>
  <dc:description>LDIMD - DTU</dc:description>
  <cp:lastModifiedBy> 譞譞</cp:lastModifiedBy>
  <dcterms:modified xsi:type="dcterms:W3CDTF">2025-08-04T16:07:34Z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4E29BCDC2ABB4C20AEFA9D65C2452E08_12</vt:lpwstr>
  </property>
</Properties>
</file>