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CAD99">
      <w:pPr>
        <w:pStyle w:val="84"/>
        <w:rPr>
          <w:caps w:val="0"/>
          <w:kern w:val="0"/>
        </w:rPr>
      </w:pPr>
      <w:r>
        <w:rPr>
          <w:caps w:val="0"/>
          <w:kern w:val="0"/>
        </w:rPr>
        <w:t>NOTIFICATION</w:t>
      </w:r>
    </w:p>
    <w:p w14:paraId="66AC993A">
      <w:pPr>
        <w:jc w:val="center"/>
      </w:pPr>
      <w:r>
        <w:t>The following notification is being circulated in accordance with Article 10.6</w:t>
      </w:r>
    </w:p>
    <w:p w14:paraId="067F2D5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00AB1F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57FA882A">
            <w:pPr>
              <w:spacing w:before="120" w:after="120"/>
              <w:jc w:val="left"/>
            </w:pPr>
            <w:r>
              <w:rPr>
                <w:b/>
              </w:rPr>
              <w:t>1.</w:t>
            </w:r>
          </w:p>
        </w:tc>
        <w:tc>
          <w:tcPr>
            <w:tcW w:w="8546" w:type="dxa"/>
            <w:tcBorders>
              <w:bottom w:val="single" w:color="auto" w:sz="6" w:space="0"/>
            </w:tcBorders>
            <w:shd w:val="clear" w:color="auto" w:fill="auto"/>
          </w:tcPr>
          <w:p w14:paraId="4146AA3F">
            <w:pPr>
              <w:spacing w:before="120" w:after="120"/>
            </w:pPr>
            <w:r>
              <w:rPr>
                <w:b/>
              </w:rPr>
              <w:t>Notifying Member:</w:t>
            </w:r>
            <w:r>
              <w:t xml:space="preserve"> </w:t>
            </w:r>
            <w:r>
              <w:rPr>
                <w:u w:val="single"/>
              </w:rPr>
              <w:t>UNITED KINGDOM</w:t>
            </w:r>
          </w:p>
          <w:p w14:paraId="4EFDF772">
            <w:r>
              <w:rPr>
                <w:b/>
              </w:rPr>
              <w:t>If applicable, name of local government involved (Article 3.2 and 7.2):</w:t>
            </w:r>
            <w:r>
              <w:t xml:space="preserve"> N/A</w:t>
            </w:r>
          </w:p>
        </w:tc>
      </w:tr>
      <w:tr w14:paraId="7E303D2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5A63F7">
            <w:pPr>
              <w:spacing w:before="120" w:after="120"/>
              <w:jc w:val="left"/>
            </w:pPr>
            <w:r>
              <w:rPr>
                <w:b/>
              </w:rPr>
              <w:t>2.</w:t>
            </w:r>
          </w:p>
        </w:tc>
        <w:tc>
          <w:tcPr>
            <w:tcW w:w="8546" w:type="dxa"/>
            <w:tcBorders>
              <w:top w:val="single" w:color="auto" w:sz="6" w:space="0"/>
              <w:bottom w:val="single" w:color="auto" w:sz="6" w:space="0"/>
            </w:tcBorders>
            <w:shd w:val="clear" w:color="auto" w:fill="auto"/>
          </w:tcPr>
          <w:p w14:paraId="67B9D1A6">
            <w:pPr>
              <w:spacing w:before="120" w:after="120"/>
            </w:pPr>
            <w:r>
              <w:rPr>
                <w:b/>
              </w:rPr>
              <w:t>Agency responsible:</w:t>
            </w:r>
            <w:r>
              <w:t xml:space="preserve"> </w:t>
            </w:r>
          </w:p>
          <w:p w14:paraId="42DEC07D">
            <w:r>
              <w:t>UK TBT Enquiry Point</w:t>
            </w:r>
          </w:p>
          <w:p w14:paraId="768B41D7">
            <w:r>
              <w:t>Trade Group</w:t>
            </w:r>
          </w:p>
          <w:p w14:paraId="5769CB6B">
            <w:r>
              <w:t>Department for International Trade</w:t>
            </w:r>
          </w:p>
          <w:p w14:paraId="10AD9A85">
            <w:r>
              <w:t>Old Admiralty Building</w:t>
            </w:r>
          </w:p>
          <w:p w14:paraId="6F0DA134">
            <w:r>
              <w:t>London</w:t>
            </w:r>
          </w:p>
          <w:p w14:paraId="78EE2D44">
            <w:r>
              <w:t>SW1A 2DY</w:t>
            </w:r>
          </w:p>
          <w:p w14:paraId="43D276E2">
            <w:pPr>
              <w:spacing w:after="120"/>
            </w:pPr>
            <w:r>
              <w:fldChar w:fldCharType="begin"/>
            </w:r>
            <w:r>
              <w:instrText xml:space="preserve"> HYPERLINK "mailto:TBTEnquiriesUK@businessandtrade.gov.uk" </w:instrText>
            </w:r>
            <w:r>
              <w:fldChar w:fldCharType="separate"/>
            </w:r>
            <w:r>
              <w:rPr>
                <w:color w:val="0000FF"/>
                <w:u w:val="single"/>
              </w:rPr>
              <w:t>TBTEnquiriesUK@businessandtrade.gov.uk</w:t>
            </w:r>
            <w:r>
              <w:rPr>
                <w:color w:val="0000FF"/>
                <w:u w:val="single"/>
              </w:rPr>
              <w:fldChar w:fldCharType="end"/>
            </w:r>
          </w:p>
          <w:p w14:paraId="27F5079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99AC93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A8296A">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1D498C5F">
            <w:pPr>
              <w:spacing w:before="120" w:after="120"/>
            </w:pPr>
            <w:r>
              <w:rPr>
                <w:b/>
              </w:rPr>
              <w:t>Notified under Article 2.9.2 [X], 2.10.1 [ ], 5.6.2 [ ], 5.7.1 [ ], 3.2 [ ], 7.2 [ ], other:</w:t>
            </w:r>
            <w:r>
              <w:t xml:space="preserve"> </w:t>
            </w:r>
          </w:p>
        </w:tc>
      </w:tr>
      <w:tr w14:paraId="1910480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261F5E">
            <w:pPr>
              <w:spacing w:before="120" w:after="120"/>
              <w:jc w:val="left"/>
            </w:pPr>
            <w:r>
              <w:rPr>
                <w:b/>
              </w:rPr>
              <w:t>4.</w:t>
            </w:r>
          </w:p>
        </w:tc>
        <w:tc>
          <w:tcPr>
            <w:tcW w:w="8546" w:type="dxa"/>
            <w:tcBorders>
              <w:top w:val="single" w:color="auto" w:sz="6" w:space="0"/>
              <w:bottom w:val="single" w:color="auto" w:sz="6" w:space="0"/>
            </w:tcBorders>
            <w:shd w:val="clear" w:color="auto" w:fill="auto"/>
          </w:tcPr>
          <w:p w14:paraId="7B8E318F">
            <w:pPr>
              <w:spacing w:before="120" w:after="120"/>
            </w:pPr>
            <w:r>
              <w:rPr>
                <w:b/>
              </w:rPr>
              <w:t>Products covered (HS or CCCN where applicable, otherwise national tariff heading. ICS numbers may be provided in addition, where applicable):</w:t>
            </w:r>
            <w:r>
              <w:t xml:space="preserve"> Outdoor machinery typically used on construction sites or in large parks and gardens, such as chainsaws, cranes, dumpers, excavators, lawnmowers, leaf blowers and power generators. Machinery for the transport of goods or people by road, rail, air or waterways, or machinery for use by the military, police or emergency services is not included.</w:t>
            </w:r>
          </w:p>
        </w:tc>
      </w:tr>
      <w:tr w14:paraId="3C66282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0A882AC">
            <w:pPr>
              <w:spacing w:before="120" w:after="120"/>
              <w:jc w:val="left"/>
            </w:pPr>
            <w:r>
              <w:rPr>
                <w:b/>
              </w:rPr>
              <w:t>5.</w:t>
            </w:r>
          </w:p>
        </w:tc>
        <w:tc>
          <w:tcPr>
            <w:tcW w:w="8546" w:type="dxa"/>
            <w:tcBorders>
              <w:top w:val="single" w:color="auto" w:sz="6" w:space="0"/>
              <w:bottom w:val="single" w:color="auto" w:sz="6" w:space="0"/>
            </w:tcBorders>
            <w:shd w:val="clear" w:color="auto" w:fill="auto"/>
          </w:tcPr>
          <w:p w14:paraId="3A53F61B">
            <w:pPr>
              <w:numPr>
                <w:ilvl w:val="0"/>
                <w:numId w:val="0"/>
              </w:numPr>
              <w:spacing w:before="120" w:after="120"/>
            </w:pPr>
            <w:r>
              <w:rPr>
                <w:b/>
              </w:rPr>
              <w:t>Title, number of pages and language(s) of the notified document:</w:t>
            </w:r>
            <w:r>
              <w:t xml:space="preserve"> </w:t>
            </w:r>
          </w:p>
          <w:p w14:paraId="63289D26">
            <w:pPr>
              <w:spacing w:before="120" w:after="120"/>
            </w:pPr>
            <w:r>
              <w:t>The Noise Emission in the Environment by Equipment for use Outdoors (Amendment) Regulations 2025; (25 page(s), in English)</w:t>
            </w:r>
          </w:p>
        </w:tc>
      </w:tr>
      <w:tr w14:paraId="065946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E4E49">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5230F0E4">
            <w:pPr>
              <w:spacing w:before="120" w:after="120"/>
              <w:rPr>
                <w:b/>
              </w:rPr>
            </w:pPr>
            <w:r>
              <w:rPr>
                <w:b/>
              </w:rPr>
              <w:t>Description of content:</w:t>
            </w:r>
            <w:r>
              <w:t xml:space="preserve"> The Noise Emission in the Environment by Equipment for use Outdoors (Amendment) Regulations 2025 ('the GB Regulations 2025') will amend the Noise Emission in the Environment by Equipment for use Outdoors Regulations 2001 (the '2001 Regulations') as it applies in Great Britain. The GB Regulations 2025 will update the testing methods used to measure airborne noise emitted by outdoor equipment in-scope of the 2001 Regulations, with the aim of protecting machine operators and those in proximity from unnecessarily high noise levels</w:t>
            </w:r>
            <w:r>
              <w:rPr>
                <w:i/>
                <w:iCs/>
              </w:rPr>
              <w:t>.</w:t>
            </w:r>
            <w:r>
              <w:t xml:space="preserve"> For certain equipment, manufacturers will be able to use both the existing and the new testing methods. There are also transitional provisions for equipment already on the market. The GB Regulations 2025 will also remove the reporting obligations which require the responsible persons to provide a copy of the declaration of conformity to the national enforcement authority, removing an unnecessary adminstration burden for businesses. In addition, the GB Regulations 2025 update the reference to EU Directive 2000/14/EC, so that equipment conforming to the most up-to-date version of the Directive can continue to be placed on the market in Great Britain, known as continued CE recognition. </w:t>
            </w:r>
          </w:p>
        </w:tc>
      </w:tr>
      <w:tr w14:paraId="0209EC8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9EF4FBD">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FDFFA58">
            <w:pPr>
              <w:spacing w:before="120" w:after="120"/>
              <w:rPr>
                <w:b/>
              </w:rPr>
            </w:pPr>
            <w:r>
              <w:rPr>
                <w:b/>
              </w:rPr>
              <w:t>Objective and rationale, including the nature of urgent problems where applicable:</w:t>
            </w:r>
            <w:r>
              <w:t xml:space="preserve"> The objectives of these changes are:</w:t>
            </w:r>
          </w:p>
          <w:p w14:paraId="39999E74">
            <w:pPr>
              <w:spacing w:before="120" w:after="120"/>
            </w:pPr>
            <w:r>
              <w:t>1) To update the technical methods used to measure airborne noise emitted by outdoor equipment.</w:t>
            </w:r>
          </w:p>
          <w:p w14:paraId="53D3B0AB">
            <w:pPr>
              <w:spacing w:before="120" w:after="120"/>
            </w:pPr>
            <w:r>
              <w:t>2) To remove the requirement to provide the declaration of conformity directly to the national enforcement authority within 28 days of placing the equipment on the market.</w:t>
            </w:r>
          </w:p>
          <w:p w14:paraId="02970409">
            <w:pPr>
              <w:spacing w:before="120" w:after="120"/>
            </w:pPr>
            <w:r>
              <w:t>We are introducing these trade facilitative measures, to ensure that testing methods are precise and modern and therefore protect the public from being exposed to high noise levels when outdoor equipment is used.</w:t>
            </w:r>
          </w:p>
          <w:p w14:paraId="6DA24991">
            <w:pPr>
              <w:spacing w:before="120" w:after="120"/>
            </w:pPr>
            <w:r>
              <w:t>The measures will also allow CE marked equipment, that is compliant with the latest version of the EU's Directive 2000/14/EC, to be placed on the market in Great Britain. This is known as continued CE recognition.</w:t>
            </w:r>
          </w:p>
          <w:p w14:paraId="1917E643">
            <w:pPr>
              <w:spacing w:before="120" w:after="120"/>
            </w:pPr>
            <w:r>
              <w:t>We are notifying and publishing these measures to address technological changes, to continue the facilitation of safe and compliant products onto the market in Great Britain. ; Protection of human health or safety</w:t>
            </w:r>
          </w:p>
        </w:tc>
      </w:tr>
      <w:tr w14:paraId="54A5681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51C37D7C">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1C348A75">
            <w:pPr>
              <w:spacing w:before="120" w:after="120"/>
              <w:rPr>
                <w:bCs/>
              </w:rPr>
            </w:pPr>
            <w:r>
              <w:rPr>
                <w:b/>
              </w:rPr>
              <w:t>Relevant documents:</w:t>
            </w:r>
            <w:r>
              <w:t xml:space="preserve"> </w:t>
            </w:r>
          </w:p>
          <w:p w14:paraId="69C67E1E">
            <w:pPr>
              <w:spacing w:before="120" w:after="120"/>
            </w:pPr>
            <w:r>
              <w:t xml:space="preserve">Product Regulation and Metrology Act - </w:t>
            </w:r>
            <w:r>
              <w:fldChar w:fldCharType="begin"/>
            </w:r>
            <w:r>
              <w:instrText xml:space="preserve"> HYPERLINK "https://www.legislation.gov.uk/ukpga/2025/20/enacted" </w:instrText>
            </w:r>
            <w:r>
              <w:fldChar w:fldCharType="separate"/>
            </w:r>
            <w:r>
              <w:rPr>
                <w:color w:val="0000FF"/>
                <w:u w:val="single"/>
              </w:rPr>
              <w:t>Product Regulation and Metrology Act - UK Government</w:t>
            </w:r>
            <w:r>
              <w:rPr>
                <w:color w:val="0000FF"/>
                <w:u w:val="single"/>
              </w:rPr>
              <w:fldChar w:fldCharType="end"/>
            </w:r>
          </w:p>
          <w:p w14:paraId="6D767EE3">
            <w:pPr>
              <w:spacing w:before="120" w:after="120"/>
            </w:pPr>
            <w:r>
              <w:t>The new SI legislation – [draft attached]</w:t>
            </w:r>
          </w:p>
          <w:p w14:paraId="61D9476D">
            <w:pPr>
              <w:spacing w:before="120" w:after="120"/>
            </w:pPr>
            <w:r>
              <w:t xml:space="preserve">Call for evidence (2024) - </w:t>
            </w:r>
            <w:r>
              <w:fldChar w:fldCharType="begin"/>
            </w:r>
            <w:r>
              <w:instrText xml:space="preserve"> HYPERLINK "https://www.gov.uk/government/calls-for-evidence/measuring-noise-from-outdoor-equipment-call-for-evidence" </w:instrText>
            </w:r>
            <w:r>
              <w:fldChar w:fldCharType="separate"/>
            </w:r>
            <w:r>
              <w:rPr>
                <w:color w:val="0000FF"/>
                <w:u w:val="single"/>
              </w:rPr>
              <w:t>Measuring noise from outdoor equipment: call for evidence - GOV.UK</w:t>
            </w:r>
            <w:r>
              <w:rPr>
                <w:color w:val="0000FF"/>
                <w:u w:val="single"/>
              </w:rPr>
              <w:fldChar w:fldCharType="end"/>
            </w:r>
          </w:p>
        </w:tc>
      </w:tr>
      <w:tr w14:paraId="4A42DBB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6897595A">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7354EF4C">
            <w:pPr>
              <w:spacing w:before="120" w:after="120"/>
            </w:pPr>
            <w:r>
              <w:rPr>
                <w:b/>
              </w:rPr>
              <w:t>Proposed date of adoption:</w:t>
            </w:r>
            <w:r>
              <w:t xml:space="preserve"> 13 October 2025</w:t>
            </w:r>
          </w:p>
          <w:p w14:paraId="119B8671">
            <w:pPr>
              <w:spacing w:after="120"/>
            </w:pPr>
            <w:r>
              <w:rPr>
                <w:b/>
              </w:rPr>
              <w:t>Proposed date of entry into force:</w:t>
            </w:r>
            <w:r>
              <w:t xml:space="preserve"> 13 April 2026</w:t>
            </w:r>
          </w:p>
        </w:tc>
      </w:tr>
      <w:tr w14:paraId="3CC76FB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1F46B1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40DEA35">
            <w:pPr>
              <w:spacing w:before="120" w:after="120"/>
              <w:rPr>
                <w:bCs/>
              </w:rPr>
            </w:pPr>
            <w:r>
              <w:rPr>
                <w:b/>
              </w:rPr>
              <w:t>Final date for comments:</w:t>
            </w:r>
            <w:r>
              <w:t xml:space="preserve"> 3 October 2025</w:t>
            </w:r>
          </w:p>
          <w:p w14:paraId="24DE9AD1">
            <w:pPr>
              <w:tabs>
                <w:tab w:val="left" w:pos="1418"/>
                <w:tab w:val="left" w:pos="2127"/>
                <w:tab w:val="left" w:pos="2835"/>
                <w:tab w:val="left" w:pos="3402"/>
              </w:tabs>
              <w:spacing w:before="120" w:after="120"/>
              <w:rPr>
                <w:b/>
                <w:bCs/>
              </w:rPr>
            </w:pPr>
            <w:r>
              <w:rPr>
                <w:b/>
                <w:bCs/>
              </w:rPr>
              <w:t>[X] 60 days from notification</w:t>
            </w:r>
            <w:r>
              <w:t xml:space="preserve"> </w:t>
            </w:r>
          </w:p>
          <w:p w14:paraId="0AE61A2C">
            <w:pPr>
              <w:spacing w:before="120" w:after="120"/>
            </w:pPr>
            <w:r>
              <w:rPr>
                <w:b/>
                <w:bCs/>
              </w:rPr>
              <w:t>Contact details of agency or authority designated to handle comments regarding the notification:</w:t>
            </w:r>
            <w:r>
              <w:t xml:space="preserve"> </w:t>
            </w:r>
          </w:p>
          <w:p w14:paraId="3886C015">
            <w:r>
              <w:t>UK TBT Enquiry Point</w:t>
            </w:r>
          </w:p>
          <w:p w14:paraId="2483C504">
            <w:r>
              <w:t>Trade Group</w:t>
            </w:r>
          </w:p>
          <w:p w14:paraId="6E29E6B1">
            <w:r>
              <w:t>Department for International Trade</w:t>
            </w:r>
          </w:p>
          <w:p w14:paraId="58841600">
            <w:r>
              <w:t>Old Admiralty Building</w:t>
            </w:r>
          </w:p>
          <w:p w14:paraId="5E4CE806">
            <w:r>
              <w:t>London</w:t>
            </w:r>
          </w:p>
          <w:p w14:paraId="476E08D8">
            <w:r>
              <w:t>SW1A 2DY</w:t>
            </w:r>
          </w:p>
          <w:p w14:paraId="760F2E16">
            <w:pPr>
              <w:spacing w:before="120" w:after="120"/>
              <w:rPr>
                <w:rFonts w:hint="eastAsia"/>
                <w:iCs/>
                <w:color w:val="0000FF"/>
                <w:u w:val="single"/>
                <w:lang w:eastAsia="zh-CN"/>
              </w:rPr>
            </w:pPr>
            <w:r>
              <w:fldChar w:fldCharType="begin"/>
            </w:r>
            <w:r>
              <w:instrText xml:space="preserve"> HYPERLINK "mailto:TBTEnquiriesUK@businessandtrade.gov.uk" </w:instrText>
            </w:r>
            <w:r>
              <w:fldChar w:fldCharType="separate"/>
            </w:r>
            <w:r>
              <w:rPr>
                <w:color w:val="0000FF"/>
                <w:u w:val="single"/>
              </w:rPr>
              <w:t>TBTEnquiriesUK@businessandtrade.gov.uk</w:t>
            </w:r>
            <w:r>
              <w:rPr>
                <w:color w:val="0000FF"/>
                <w:u w:val="single"/>
              </w:rPr>
              <w:fldChar w:fldCharType="end"/>
            </w:r>
          </w:p>
        </w:tc>
      </w:tr>
      <w:tr w14:paraId="15DD13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A14D289">
            <w:pPr>
              <w:keepNext/>
              <w:keepLines/>
              <w:spacing w:before="120" w:after="120"/>
              <w:jc w:val="left"/>
              <w:rPr>
                <w:b/>
              </w:rPr>
            </w:pPr>
            <w:r>
              <w:rPr>
                <w:b/>
              </w:rPr>
              <w:t>11.</w:t>
            </w:r>
          </w:p>
        </w:tc>
        <w:tc>
          <w:tcPr>
            <w:tcW w:w="8546" w:type="dxa"/>
            <w:tcBorders>
              <w:top w:val="single" w:color="auto" w:sz="6" w:space="0"/>
            </w:tcBorders>
            <w:shd w:val="clear" w:color="auto" w:fill="auto"/>
          </w:tcPr>
          <w:p w14:paraId="1BDDA791">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35CE72A2">
            <w:pPr>
              <w:rPr>
                <w:iCs/>
              </w:rPr>
            </w:pPr>
            <w:r>
              <w:rPr>
                <w:iCs/>
              </w:rPr>
              <w:t>UK TBT Enquiry Point</w:t>
            </w:r>
          </w:p>
          <w:p w14:paraId="7F7FEFB6">
            <w:pPr>
              <w:rPr>
                <w:iCs/>
              </w:rPr>
            </w:pPr>
            <w:r>
              <w:rPr>
                <w:iCs/>
              </w:rPr>
              <w:t>Trade Group</w:t>
            </w:r>
          </w:p>
          <w:p w14:paraId="1C8CCEEC">
            <w:pPr>
              <w:rPr>
                <w:iCs/>
              </w:rPr>
            </w:pPr>
            <w:r>
              <w:rPr>
                <w:iCs/>
              </w:rPr>
              <w:t>Department for International Trade</w:t>
            </w:r>
          </w:p>
          <w:p w14:paraId="433B2537">
            <w:pPr>
              <w:rPr>
                <w:iCs/>
              </w:rPr>
            </w:pPr>
            <w:r>
              <w:rPr>
                <w:iCs/>
              </w:rPr>
              <w:t>Old Admiralty Building</w:t>
            </w:r>
          </w:p>
          <w:p w14:paraId="39C5F7CF">
            <w:pPr>
              <w:rPr>
                <w:iCs/>
              </w:rPr>
            </w:pPr>
            <w:r>
              <w:rPr>
                <w:iCs/>
              </w:rPr>
              <w:t>London</w:t>
            </w:r>
          </w:p>
          <w:p w14:paraId="0485DA8A">
            <w:pPr>
              <w:rPr>
                <w:iCs/>
              </w:rPr>
            </w:pPr>
            <w:r>
              <w:rPr>
                <w:iCs/>
              </w:rPr>
              <w:t>SW1A 2DY</w:t>
            </w:r>
          </w:p>
          <w:p w14:paraId="67A3BE4F">
            <w:pPr>
              <w:keepNext/>
              <w:keepLines/>
              <w:pBdr>
                <w:top w:val="none" w:color="auto" w:sz="0" w:space="4"/>
              </w:pBdr>
              <w:spacing w:after="120"/>
              <w:rPr>
                <w:iCs/>
                <w:color w:val="0000FF"/>
                <w:u w:val="single"/>
              </w:rPr>
            </w:pPr>
            <w:r>
              <w:fldChar w:fldCharType="begin"/>
            </w:r>
            <w:r>
              <w:instrText xml:space="preserve"> HYPERLINK "mailto:TBTEnquiriesUK@businessandtrade.gov.uk" </w:instrText>
            </w:r>
            <w:r>
              <w:fldChar w:fldCharType="separate"/>
            </w:r>
            <w:r>
              <w:rPr>
                <w:iCs/>
                <w:color w:val="0000FF"/>
                <w:u w:val="single"/>
              </w:rPr>
              <w:t>TBTEnquiriesUK@businessandtrade.gov.uk</w:t>
            </w:r>
            <w:r>
              <w:rPr>
                <w:iCs/>
                <w:color w:val="0000FF"/>
                <w:u w:val="single"/>
              </w:rPr>
              <w:fldChar w:fldCharType="end"/>
            </w:r>
          </w:p>
          <w:p w14:paraId="15308CEB">
            <w:pPr>
              <w:keepNext/>
              <w:keepLines/>
              <w:pBdr>
                <w:top w:val="none" w:color="auto" w:sz="0" w:space="4"/>
              </w:pBdr>
              <w:spacing w:after="120"/>
              <w:rPr>
                <w:iCs/>
                <w:color w:val="0000FF"/>
                <w:u w:val="single"/>
              </w:rPr>
            </w:pPr>
          </w:p>
          <w:p w14:paraId="2E7E049C">
            <w:pPr>
              <w:pBdr>
                <w:top w:val="none" w:color="auto" w:sz="0" w:space="4"/>
                <w:bottom w:val="none" w:color="auto" w:sz="0" w:space="4"/>
              </w:pBdr>
              <w:rPr>
                <w:iCs/>
              </w:rPr>
            </w:pPr>
            <w:r>
              <w:fldChar w:fldCharType="begin"/>
            </w:r>
            <w:r>
              <w:instrText xml:space="preserve"> HYPERLINK "https://members.wto.org/crnattachments/2025/TBT/GBR/25_05144_00_e.pdf" \t "_blank" </w:instrText>
            </w:r>
            <w:r>
              <w:fldChar w:fldCharType="separate"/>
            </w:r>
            <w:r>
              <w:rPr>
                <w:iCs/>
                <w:color w:val="0000FF"/>
                <w:u w:val="single"/>
              </w:rPr>
              <w:t>https://members.wto.org/crnattachments/2025/TBT/GBR/25_05144_00_e.pdf</w:t>
            </w:r>
            <w:r>
              <w:rPr>
                <w:iCs/>
                <w:color w:val="0000FF"/>
                <w:u w:val="single"/>
              </w:rPr>
              <w:fldChar w:fldCharType="end"/>
            </w:r>
          </w:p>
          <w:p w14:paraId="3D8C1D32">
            <w:pPr>
              <w:keepNext/>
              <w:keepLines/>
              <w:pBdr>
                <w:top w:val="none" w:color="auto" w:sz="0" w:space="4"/>
              </w:pBdr>
              <w:spacing w:after="120"/>
              <w:rPr>
                <w:iCs/>
                <w:color w:val="0000FF"/>
                <w:u w:val="single"/>
              </w:rPr>
            </w:pPr>
            <w:bookmarkStart w:id="10" w:name="_GoBack"/>
            <w:bookmarkEnd w:id="10"/>
          </w:p>
        </w:tc>
      </w:tr>
    </w:tbl>
    <w:p w14:paraId="0D6859A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BF195">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6D880">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EB21F">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75912">
    <w:pPr>
      <w:pStyle w:val="58"/>
      <w:pBdr>
        <w:bottom w:val="single" w:color="auto" w:sz="4" w:space="1"/>
      </w:pBdr>
      <w:tabs>
        <w:tab w:val="clear" w:pos="4513"/>
        <w:tab w:val="clear" w:pos="9027"/>
      </w:tabs>
      <w:jc w:val="center"/>
    </w:pPr>
    <w:bookmarkStart w:id="9" w:name="spsSymbolHeader"/>
    <w:r>
      <w:t>G/TBT/N/GBR/102</w:t>
    </w:r>
    <w:bookmarkEnd w:id="9"/>
  </w:p>
  <w:p w14:paraId="2030EC78">
    <w:pPr>
      <w:pStyle w:val="58"/>
      <w:pBdr>
        <w:bottom w:val="single" w:color="auto" w:sz="4" w:space="1"/>
      </w:pBdr>
      <w:tabs>
        <w:tab w:val="clear" w:pos="4513"/>
        <w:tab w:val="clear" w:pos="9027"/>
      </w:tabs>
      <w:jc w:val="center"/>
    </w:pPr>
  </w:p>
  <w:p w14:paraId="0FEC84C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FAE56D9">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A7A4C">
    <w:pPr>
      <w:pStyle w:val="58"/>
      <w:pBdr>
        <w:bottom w:val="single" w:color="auto" w:sz="4" w:space="1"/>
      </w:pBdr>
      <w:tabs>
        <w:tab w:val="clear" w:pos="4513"/>
        <w:tab w:val="clear" w:pos="9027"/>
      </w:tabs>
      <w:jc w:val="center"/>
    </w:pPr>
    <w:r>
      <w:t>tbtSymbol</w:t>
    </w:r>
  </w:p>
  <w:p w14:paraId="0912B37E">
    <w:pPr>
      <w:pStyle w:val="58"/>
      <w:pBdr>
        <w:bottom w:val="single" w:color="auto" w:sz="4" w:space="1"/>
      </w:pBdr>
      <w:tabs>
        <w:tab w:val="clear" w:pos="4513"/>
        <w:tab w:val="clear" w:pos="9027"/>
      </w:tabs>
      <w:jc w:val="center"/>
    </w:pPr>
  </w:p>
  <w:p w14:paraId="2D7CA23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1690A94">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8E64388">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A60348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7CB2F66">
          <w:pPr>
            <w:jc w:val="right"/>
            <w:rPr>
              <w:b/>
              <w:color w:val="FF0000"/>
              <w:szCs w:val="16"/>
            </w:rPr>
          </w:pPr>
        </w:p>
      </w:tc>
    </w:tr>
    <w:bookmarkEnd w:id="0"/>
    <w:tr w14:paraId="0B0D9FD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B98C6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D4C16A6">
          <w:pPr>
            <w:jc w:val="right"/>
            <w:rPr>
              <w:b/>
              <w:szCs w:val="16"/>
            </w:rPr>
          </w:pPr>
        </w:p>
      </w:tc>
    </w:tr>
    <w:tr w14:paraId="1B383A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4BADF04">
          <w:pPr>
            <w:jc w:val="left"/>
            <w:rPr>
              <w:lang w:eastAsia="en-GB"/>
            </w:rPr>
          </w:pPr>
        </w:p>
      </w:tc>
      <w:tc>
        <w:tcPr>
          <w:tcW w:w="5448" w:type="dxa"/>
          <w:gridSpan w:val="2"/>
          <w:shd w:val="clear" w:color="auto" w:fill="FFFFFF"/>
          <w:tcMar>
            <w:left w:w="108" w:type="dxa"/>
            <w:right w:w="108" w:type="dxa"/>
          </w:tcMar>
        </w:tcPr>
        <w:p w14:paraId="300A6E5A">
          <w:pPr>
            <w:jc w:val="right"/>
            <w:rPr>
              <w:rFonts w:hint="eastAsia" w:eastAsia="宋体"/>
              <w:b/>
              <w:szCs w:val="16"/>
              <w:lang w:eastAsia="zh-CN"/>
            </w:rPr>
          </w:pPr>
          <w:bookmarkStart w:id="1" w:name="bmkSymbols"/>
          <w:r>
            <w:rPr>
              <w:b/>
              <w:szCs w:val="16"/>
            </w:rPr>
            <w:t>G/TBT/N/GBR/10</w:t>
          </w:r>
          <w:bookmarkEnd w:id="1"/>
          <w:r>
            <w:rPr>
              <w:rFonts w:hint="eastAsia" w:eastAsia="宋体"/>
              <w:b/>
              <w:szCs w:val="16"/>
              <w:lang w:val="en-US" w:eastAsia="zh-CN"/>
            </w:rPr>
            <w:t>4</w:t>
          </w:r>
        </w:p>
      </w:tc>
    </w:tr>
    <w:tr w14:paraId="46BDE1D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72DF459"/>
      </w:tc>
      <w:tc>
        <w:tcPr>
          <w:tcW w:w="5448" w:type="dxa"/>
          <w:gridSpan w:val="2"/>
          <w:shd w:val="clear" w:color="auto" w:fill="FFFFFF"/>
          <w:tcMar>
            <w:left w:w="108" w:type="dxa"/>
            <w:right w:w="108" w:type="dxa"/>
          </w:tcMar>
          <w:vAlign w:val="center"/>
        </w:tcPr>
        <w:p w14:paraId="1903ED93">
          <w:pPr>
            <w:jc w:val="right"/>
            <w:rPr>
              <w:szCs w:val="16"/>
            </w:rPr>
          </w:pPr>
          <w:bookmarkStart w:id="2" w:name="bmkDate"/>
          <w:bookmarkStart w:id="3" w:name="spsDateDistribution"/>
          <w:r>
            <w:rPr>
              <w:szCs w:val="16"/>
            </w:rPr>
            <w:t>4 August 2025</w:t>
          </w:r>
          <w:bookmarkEnd w:id="2"/>
          <w:bookmarkEnd w:id="3"/>
        </w:p>
      </w:tc>
    </w:tr>
    <w:tr w14:paraId="194F6CC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D8CD85A">
          <w:pPr>
            <w:jc w:val="left"/>
            <w:rPr>
              <w:b/>
            </w:rPr>
          </w:pPr>
          <w:bookmarkStart w:id="4" w:name="bmkSerial"/>
          <w:r>
            <w:rPr>
              <w:b w:val="0"/>
              <w:color w:val="FF0000"/>
            </w:rPr>
            <w:t>(25-</w:t>
          </w:r>
          <w:r>
            <w:rPr>
              <w:rFonts w:hint="eastAsia" w:eastAsia="宋体"/>
              <w:b w:val="0"/>
              <w:color w:val="FF0000"/>
              <w:lang w:val="en-US" w:eastAsia="zh-CN"/>
            </w:rPr>
            <w:t>4980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F54F533">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20C8762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70D2AE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F335ECB">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456978EE">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27897"/>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54F6"/>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91488"/>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2A87"/>
    <w:rsid w:val="00AD3A28"/>
    <w:rsid w:val="00AD4C72"/>
    <w:rsid w:val="00AE118B"/>
    <w:rsid w:val="00AE2372"/>
    <w:rsid w:val="00AE2AEE"/>
    <w:rsid w:val="00AE6CC8"/>
    <w:rsid w:val="00AF3330"/>
    <w:rsid w:val="00B00276"/>
    <w:rsid w:val="00B10F9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70E6"/>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8F92FAD"/>
    <w:rsid w:val="3A574BAC"/>
    <w:rsid w:val="4B7A3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qFormat="1" w:unhideWhenUsed="0" w:uiPriority="39" w:semiHidden="0" w:name="toc 9"/>
    <w:lsdException w:qFormat="1" w:uiPriority="99" w:name="Normal Indent"/>
    <w:lsdException w:unhideWhenUsed="0" w:uiPriority="5" w:semiHidden="0" w:name="footnote text"/>
    <w:lsdException w:qFormat="1" w:uiPriority="99" w:semiHidden="0" w:name="annotation text"/>
    <w:lsdException w:unhideWhenUsed="0" w:uiPriority="3" w:semiHidden="0" w:name="header"/>
    <w:lsdException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qFormat="1" w:uiPriority="99" w:name="annotation reference"/>
    <w:lsdException w:qFormat="1" w:uiPriority="99" w:name="line number"/>
    <w:lsdException w:qFormat="1"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qFormat="1" w:uiPriority="99" w:name="macro"/>
    <w:lsdException w:qFormat="1" w:uiPriority="39" w:semiHidden="0" w:name="toa heading"/>
    <w:lsdException w:qFormat="1" w:uiPriority="99" w:name="List"/>
    <w:lsdException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uiPriority w:val="2"/>
    <w:rPr>
      <w:rFonts w:ascii="Verdana" w:hAnsi="Verdana" w:eastAsia="Times New Roman"/>
      <w:b/>
      <w:bCs/>
      <w:caps/>
      <w:color w:val="006283"/>
      <w:sz w:val="18"/>
      <w:szCs w:val="28"/>
      <w:lang w:val="en-GB"/>
    </w:rPr>
  </w:style>
  <w:style w:type="character" w:customStyle="1" w:styleId="250">
    <w:name w:val="Titre 2 Car"/>
    <w:link w:val="4"/>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uiPriority w:val="2"/>
    <w:rPr>
      <w:rFonts w:ascii="Verdana" w:hAnsi="Verdana" w:eastAsia="Times New Roman"/>
      <w:b/>
      <w:color w:val="006283"/>
      <w:sz w:val="18"/>
      <w:szCs w:val="22"/>
      <w:lang w:val="en-GB"/>
    </w:rPr>
  </w:style>
  <w:style w:type="character" w:customStyle="1" w:styleId="254">
    <w:name w:val="Titre 6 Car"/>
    <w:link w:val="8"/>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uiPriority w:val="5"/>
    <w:rPr>
      <w:rFonts w:ascii="Verdana" w:hAnsi="Verdana" w:eastAsia="Times New Roman"/>
      <w:b/>
      <w:caps/>
      <w:color w:val="006283"/>
      <w:kern w:val="28"/>
      <w:sz w:val="18"/>
      <w:szCs w:val="52"/>
      <w:lang w:val="en-GB"/>
    </w:rPr>
  </w:style>
  <w:style w:type="character" w:customStyle="1" w:styleId="259">
    <w:name w:val="Corps de texte Car"/>
    <w:link w:val="9"/>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675</Words>
  <Characters>4274</Characters>
  <Lines>24</Lines>
  <Paragraphs>6</Paragraphs>
  <TotalTime>0</TotalTime>
  <ScaleCrop>false</ScaleCrop>
  <LinksUpToDate>false</LinksUpToDate>
  <CharactersWithSpaces>4894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2025-05-07T15:10:00Z</dcterms:created>
  <dc:creator>mark louie medidas</dc:creator>
  <dc:description>LDIMD - DTU</dc:description>
  <cp:lastModifiedBy> 譞譞</cp:lastModifiedBy>
  <dcterms:modified xsi:type="dcterms:W3CDTF">2025-08-04T14:02:13Z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6AB83C09A49346348963D691E4AD505E_12</vt:lpwstr>
  </property>
</Properties>
</file>