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[X],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The implementing regulation covers cybersecurity certification of ICT products based on the Common Criteria standards. Today, ICT products that undergo Common Criteria certification typically include integrated circuits, smart cards and related products (cryptographic elements, microcontrollers, dedicated software), network devices and systems (routers, switches, access points) and products for digital signatures (cryptographic modules, hardware security modules, secure servers).</w:t>
            </w:r>
            <w:r>
              <w:rPr>
                <w:i/>
                <w:iCs/>
              </w:rPr>
              <w:t xml:space="preserve"> </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4C41368D">
            <w:pPr>
              <w:spacing w:before="120" w:after="120"/>
            </w:pPr>
            <w:r>
              <w:rPr>
                <w:b/>
              </w:rPr>
              <w:t>Title, number of pages and language(s) of the notified document:</w:t>
            </w:r>
            <w:r>
              <w:t xml:space="preserve"> Draft Commission Implementing Regulation amending Implementing Regulation (EU) 2024/482 as regards definitions, ICT product series certification, assurance continuity and state-of-the-art documents; (6 page(s), in English), (13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403091A2">
            <w:pPr>
              <w:spacing w:before="120" w:after="120"/>
              <w:rPr>
                <w:b/>
              </w:rPr>
            </w:pPr>
            <w:r>
              <w:rPr>
                <w:b/>
              </w:rPr>
              <w:t>Description of content:</w:t>
            </w:r>
            <w:r>
              <w:t xml:space="preserve"> In the EU Common Criteria-based cybersecurity certification scheme (EUCC), the state-of-the-art documents contain information that is relevant for its implementation. </w:t>
            </w:r>
          </w:p>
          <w:p w14:paraId="2DABAF6A">
            <w:pPr>
              <w:spacing w:before="120" w:after="120"/>
            </w:pPr>
            <w:r>
              <w:t>The amendment will introduce in the Implementing Regulation (Annex I) five updated state-of-the-art documents relating to minimum site security requirements, application of attack potentials to smartcards, application of attack potentials to hardware devices with security boxes, application of common criteria to integrated circuits and composite product evaluation for smartcards and similar devices.</w:t>
            </w:r>
          </w:p>
          <w:p w14:paraId="3E1ABF61">
            <w:pPr>
              <w:spacing w:before="120" w:after="120"/>
            </w:pPr>
            <w:r>
              <w:t>The amendment will also add five state-of-the-art documents to Annex I. These new documents relate to composite product evaluation and certification, reusing evaluation results of site audits, and clarifications regarding the interpretation of specific protection profiles (e.g. protection profile for qualified electronic signature creation devices).</w:t>
            </w:r>
          </w:p>
          <w:p w14:paraId="2DA40DC5">
            <w:pPr>
              <w:spacing w:before="120" w:after="120"/>
              <w:rPr>
                <w:b/>
              </w:rPr>
            </w:pPr>
            <w:r>
              <w:t>Furthermore, the amendment includes targeted changes in the main provisions of the EUCC and its annexes, including the definitions of major and minor change of a certified product and some corrections in the text.</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09AF501">
            <w:pPr>
              <w:spacing w:before="120" w:after="120"/>
              <w:rPr>
                <w:b/>
              </w:rPr>
            </w:pPr>
            <w:r>
              <w:rPr>
                <w:b/>
              </w:rPr>
              <w:t>Objective and rationale, including the nature of urgent problems where applicable:</w:t>
            </w:r>
            <w:r>
              <w:t xml:space="preserve"> Consumer information, labelling; Prevention of deceptive practices and consumer protection; Quality requirements; Harmonization</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4FB05D1">
            <w:pPr>
              <w:spacing w:before="120" w:after="120"/>
              <w:rPr>
                <w:bCs/>
              </w:rPr>
            </w:pPr>
            <w:r>
              <w:rPr>
                <w:b/>
              </w:rPr>
              <w:t>Relevant documents:</w:t>
            </w:r>
            <w:r>
              <w:t xml:space="preserve"> </w:t>
            </w:r>
          </w:p>
          <w:p w14:paraId="6190280B">
            <w:pPr>
              <w:numPr>
                <w:ilvl w:val="0"/>
                <w:numId w:val="7"/>
              </w:numPr>
              <w:spacing w:before="120" w:after="120"/>
            </w:pPr>
            <w:r>
              <w:t>Regulation (EU) 2019/881 of the European Parliament and of the Council of 17 April 2019 on ENISA (the European Union Agency for Cybersecurity) and on information and communications technology cybersecurity certification and repealing Regulation (EU) 526/2013 (Cybersecurity Act) (OJ L 151, 7.6.2019, p. 15-69).</w:t>
            </w:r>
          </w:p>
          <w:p w14:paraId="600D66B1">
            <w:pPr>
              <w:numPr>
                <w:ilvl w:val="0"/>
                <w:numId w:val="7"/>
              </w:numPr>
              <w:spacing w:before="120" w:after="120"/>
            </w:pPr>
            <w:r>
              <w:t>Commission Implementing Regulation (EU) 2024/482 of 31 January 2024 laying down rules for the application of Regulation (EU) 2019/881 of the European Parliament and of the Council as regards the adoption of the European Common Criteria-based cybersecurity certification scheme (EUCC) (OJ L, 2024/482, 7.2.2024)</w:t>
            </w:r>
          </w:p>
          <w:p w14:paraId="728EA2AD">
            <w:pPr>
              <w:numPr>
                <w:ilvl w:val="0"/>
                <w:numId w:val="7"/>
              </w:numPr>
              <w:spacing w:before="120" w:after="120"/>
            </w:pPr>
            <w:r>
              <w:t xml:space="preserve">EUCC Scheme draft state-of-the-art document "Application of attack potential to hardware devices with security boxes ", version 2, February 2025. Available here: </w:t>
            </w:r>
            <w:r>
              <w:fldChar w:fldCharType="begin"/>
            </w:r>
            <w:r>
              <w:instrText xml:space="preserve"> HYPERLINK "https://certification.enisa.europa.eu/publications/application-attack-potential-hardware-devices-security-boxes_en" </w:instrText>
            </w:r>
            <w:r>
              <w:fldChar w:fldCharType="separate"/>
            </w:r>
            <w:r>
              <w:rPr>
                <w:color w:val="0000FF"/>
                <w:u w:val="single"/>
              </w:rPr>
              <w:t>https://certification.enisa.europa.eu/publications/application-attack-potential-hardware-devices-security-boxes_en</w:t>
            </w:r>
            <w:r>
              <w:rPr>
                <w:color w:val="0000FF"/>
                <w:u w:val="single"/>
              </w:rPr>
              <w:fldChar w:fldCharType="end"/>
            </w:r>
          </w:p>
          <w:p w14:paraId="3A097430">
            <w:pPr>
              <w:numPr>
                <w:ilvl w:val="0"/>
                <w:numId w:val="7"/>
              </w:numPr>
              <w:spacing w:before="120" w:after="120"/>
            </w:pPr>
            <w:r>
              <w:t xml:space="preserve">EUCC Scheme draft state-of-the-art document "Application of attack potential to smartcards and similar devices", version 2, February 2025. Available here: </w:t>
            </w:r>
            <w:r>
              <w:fldChar w:fldCharType="begin"/>
            </w:r>
            <w:r>
              <w:instrText xml:space="preserve"> HYPERLINK "https://certification.enisa.europa.eu/publications/application-attack-potential-smartcards_en" </w:instrText>
            </w:r>
            <w:r>
              <w:fldChar w:fldCharType="separate"/>
            </w:r>
            <w:r>
              <w:rPr>
                <w:color w:val="0000FF"/>
                <w:u w:val="single"/>
              </w:rPr>
              <w:t>https://certification.enisa.europa.eu/publications/application-attack-potential-smartcards_en</w:t>
            </w:r>
            <w:r>
              <w:rPr>
                <w:color w:val="0000FF"/>
                <w:u w:val="single"/>
              </w:rPr>
              <w:fldChar w:fldCharType="end"/>
            </w:r>
          </w:p>
          <w:p w14:paraId="6F8DD880">
            <w:pPr>
              <w:numPr>
                <w:ilvl w:val="0"/>
                <w:numId w:val="7"/>
              </w:numPr>
              <w:spacing w:before="120" w:after="120"/>
            </w:pPr>
            <w:r>
              <w:t xml:space="preserve">EUCC Scheme draft state-of-the-art document "Application of CC to integrated circuits", version 2, December 2024. Available here: </w:t>
            </w:r>
            <w:r>
              <w:fldChar w:fldCharType="begin"/>
            </w:r>
            <w:r>
              <w:instrText xml:space="preserve"> HYPERLINK "https://certification.enisa.europa.eu/publications/application-common-criteria-integrated-circuits_en" </w:instrText>
            </w:r>
            <w:r>
              <w:fldChar w:fldCharType="separate"/>
            </w:r>
            <w:r>
              <w:rPr>
                <w:color w:val="0000FF"/>
                <w:u w:val="single"/>
              </w:rPr>
              <w:t>https://certification.enisa.europa.eu/publications/application-common-criteria-integrated-circuits_en</w:t>
            </w:r>
            <w:r>
              <w:rPr>
                <w:color w:val="0000FF"/>
                <w:u w:val="single"/>
              </w:rPr>
              <w:fldChar w:fldCharType="end"/>
            </w:r>
          </w:p>
          <w:p w14:paraId="18ABBCFA">
            <w:pPr>
              <w:numPr>
                <w:ilvl w:val="0"/>
                <w:numId w:val="7"/>
              </w:numPr>
              <w:spacing w:before="120" w:after="120"/>
            </w:pPr>
            <w:r>
              <w:t xml:space="preserve">EUCC Scheme draft state-of-the-art document "Composite product evaluation for Smart Cards and similar devices for CC 3.2", version 2, December 2024. Available here: </w:t>
            </w:r>
            <w:r>
              <w:fldChar w:fldCharType="begin"/>
            </w:r>
            <w:r>
              <w:instrText xml:space="preserve"> HYPERLINK "https://certification.enisa.europa.eu/publications/composite-product-evaluation-smart-cards-and-similar-devices-cc31_en" </w:instrText>
            </w:r>
            <w:r>
              <w:fldChar w:fldCharType="separate"/>
            </w:r>
            <w:r>
              <w:rPr>
                <w:color w:val="0000FF"/>
                <w:u w:val="single"/>
              </w:rPr>
              <w:t>https://certification.enisa.europa.eu/publications/composite-product-evaluation-smart-cards-and-similar-devices-cc31_en</w:t>
            </w:r>
            <w:r>
              <w:rPr>
                <w:color w:val="0000FF"/>
                <w:u w:val="single"/>
              </w:rPr>
              <w:fldChar w:fldCharType="end"/>
            </w:r>
          </w:p>
          <w:p w14:paraId="6718DA0F">
            <w:pPr>
              <w:numPr>
                <w:ilvl w:val="0"/>
                <w:numId w:val="7"/>
              </w:numPr>
              <w:spacing w:before="120" w:after="120"/>
            </w:pPr>
            <w:r>
              <w:t xml:space="preserve">EUCC Scheme draft state-of-the-art document "Composite product evaluation and certification for CC:2022", version 1, February 2025. Available here: </w:t>
            </w:r>
            <w:r>
              <w:fldChar w:fldCharType="begin"/>
            </w:r>
            <w:r>
              <w:instrText xml:space="preserve"> HYPERLINK "https://certification.enisa.europa.eu/publications/composite-product-evaluation-and-certification-cc2022_en" </w:instrText>
            </w:r>
            <w:r>
              <w:fldChar w:fldCharType="separate"/>
            </w:r>
            <w:r>
              <w:rPr>
                <w:color w:val="0000FF"/>
                <w:u w:val="single"/>
              </w:rPr>
              <w:t>https://certification.enisa.europa.eu/publications/composite-product-evaluation-and-certification-cc2022_en</w:t>
            </w:r>
            <w:r>
              <w:rPr>
                <w:color w:val="0000FF"/>
                <w:u w:val="single"/>
              </w:rPr>
              <w:fldChar w:fldCharType="end"/>
            </w:r>
          </w:p>
          <w:p w14:paraId="222435D3">
            <w:pPr>
              <w:numPr>
                <w:ilvl w:val="0"/>
                <w:numId w:val="7"/>
              </w:numPr>
              <w:spacing w:before="120" w:after="120"/>
            </w:pPr>
            <w:r>
              <w:t xml:space="preserve">EUCC Scheme draft state-of-the-art document "Digital Tachograph Motion Sensor Protection Profile clarifications", version 1, February 2025. Available here: </w:t>
            </w:r>
            <w:r>
              <w:fldChar w:fldCharType="begin"/>
            </w:r>
            <w:r>
              <w:instrText xml:space="preserve"> HYPERLINK "https://certification.enisa.europa.eu/publications/digital-tachograph-motion-sensor-pp-clarifications_en" </w:instrText>
            </w:r>
            <w:r>
              <w:fldChar w:fldCharType="separate"/>
            </w:r>
            <w:r>
              <w:rPr>
                <w:color w:val="0000FF"/>
                <w:u w:val="single"/>
              </w:rPr>
              <w:t>https://certification.enisa.europa.eu/publications/digital-tachograph-motion-sensor-pp-clarifications_en</w:t>
            </w:r>
            <w:r>
              <w:rPr>
                <w:color w:val="0000FF"/>
                <w:u w:val="single"/>
              </w:rPr>
              <w:fldChar w:fldCharType="end"/>
            </w:r>
          </w:p>
          <w:p w14:paraId="32189AAC">
            <w:pPr>
              <w:numPr>
                <w:ilvl w:val="0"/>
                <w:numId w:val="7"/>
              </w:numPr>
              <w:spacing w:before="120" w:after="120"/>
            </w:pPr>
            <w:r>
              <w:t xml:space="preserve">EUCC Scheme draft state-of-the-art document "Hardware assessment in EN 419221-5 (HSM PP): interpretation of the FPT_PHP requirements", version 1, February 2025. Available here: </w:t>
            </w:r>
            <w:r>
              <w:fldChar w:fldCharType="begin"/>
            </w:r>
            <w:r>
              <w:instrText xml:space="preserve"> HYPERLINK "https://certification.enisa.europa.eu/publications/hardware-assessment-en-419221-5-hsm-pp_en" </w:instrText>
            </w:r>
            <w:r>
              <w:fldChar w:fldCharType="separate"/>
            </w:r>
            <w:r>
              <w:rPr>
                <w:color w:val="0000FF"/>
                <w:u w:val="single"/>
              </w:rPr>
              <w:t>https://certification.enisa.europa.eu/publications/hardware-assessment-en-419221-5-hsm-pp_en</w:t>
            </w:r>
            <w:r>
              <w:rPr>
                <w:color w:val="0000FF"/>
                <w:u w:val="single"/>
              </w:rPr>
              <w:fldChar w:fldCharType="end"/>
            </w:r>
          </w:p>
          <w:p w14:paraId="50796243">
            <w:pPr>
              <w:numPr>
                <w:ilvl w:val="0"/>
                <w:numId w:val="7"/>
              </w:numPr>
              <w:spacing w:before="120" w:after="120"/>
            </w:pPr>
            <w:r>
              <w:t xml:space="preserve">EUCC Scheme draft state-of-the-art document "Minimum Site Security Requirements", version 2, February 2025. Available here: </w:t>
            </w:r>
            <w:r>
              <w:fldChar w:fldCharType="begin"/>
            </w:r>
            <w:r>
              <w:instrText xml:space="preserve"> HYPERLINK "https://certification.enisa.europa.eu/publications/minimum-site-security-requirements_en" </w:instrText>
            </w:r>
            <w:r>
              <w:fldChar w:fldCharType="separate"/>
            </w:r>
            <w:r>
              <w:rPr>
                <w:color w:val="0000FF"/>
                <w:u w:val="single"/>
              </w:rPr>
              <w:t>https://certification.enisa.europa.eu/publications/minimum-site-security-requirements_en</w:t>
            </w:r>
            <w:r>
              <w:rPr>
                <w:color w:val="0000FF"/>
                <w:u w:val="single"/>
              </w:rPr>
              <w:fldChar w:fldCharType="end"/>
            </w:r>
          </w:p>
          <w:p w14:paraId="429BE4AA">
            <w:pPr>
              <w:numPr>
                <w:ilvl w:val="0"/>
                <w:numId w:val="7"/>
              </w:numPr>
              <w:spacing w:before="120" w:after="120"/>
            </w:pPr>
            <w:r>
              <w:t xml:space="preserve">EUCC Scheme draft state-of-the-art document "Security Evaluation and Certification of Qualified Electronic Signature/Seal Creation Devices according to eIDAS Regulation (EU) 910/2014, as amended by Regulation (EU) 2024/1183", version 1, February 2025. Available here: </w:t>
            </w:r>
            <w:r>
              <w:fldChar w:fldCharType="begin"/>
            </w:r>
            <w:r>
              <w:instrText xml:space="preserve"> HYPERLINK "https://certification.enisa.europa.eu/publications/security-evaluation-and-certification-qualified-electronic-signatureseal-creation-devices_en" </w:instrText>
            </w:r>
            <w:r>
              <w:fldChar w:fldCharType="separate"/>
            </w:r>
            <w:r>
              <w:rPr>
                <w:color w:val="0000FF"/>
                <w:u w:val="single"/>
              </w:rPr>
              <w:t>https://certification.enisa.europa.eu/publications/security-evaluation-and-certification-qualified-electronic-signatureseal-creation-devices_en</w:t>
            </w:r>
            <w:r>
              <w:rPr>
                <w:color w:val="0000FF"/>
                <w:u w:val="single"/>
              </w:rPr>
              <w:fldChar w:fldCharType="end"/>
            </w:r>
          </w:p>
          <w:p w14:paraId="6E4C2092">
            <w:pPr>
              <w:numPr>
                <w:ilvl w:val="0"/>
                <w:numId w:val="7"/>
              </w:numPr>
              <w:spacing w:before="120" w:after="120"/>
              <w:ind w:left="720" w:leftChars="0" w:hanging="360" w:firstLineChars="0"/>
            </w:pPr>
            <w:r>
              <w:t xml:space="preserve">EUCC Scheme draft state-of-the-art document "STAR methodology", version 1, February 2025. Available here: </w:t>
            </w:r>
            <w:r>
              <w:fldChar w:fldCharType="begin"/>
            </w:r>
            <w:r>
              <w:instrText xml:space="preserve"> HYPERLINK "https://certification.enisa.europa.eu/publications/star-methodology_en" </w:instrText>
            </w:r>
            <w:r>
              <w:fldChar w:fldCharType="separate"/>
            </w:r>
            <w:r>
              <w:rPr>
                <w:color w:val="0000FF"/>
                <w:u w:val="single"/>
              </w:rPr>
              <w:t>https://certification.enisa.europa.eu/publications/star-methodology_en</w:t>
            </w:r>
            <w:r>
              <w:rPr>
                <w:color w:val="0000FF"/>
                <w:u w:val="single"/>
              </w:rPr>
              <w:fldChar w:fldCharType="end"/>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6F79B94">
            <w:pPr>
              <w:spacing w:before="120" w:after="120"/>
            </w:pPr>
            <w:r>
              <w:rPr>
                <w:b/>
              </w:rPr>
              <w:t>Proposed date of adoption:</w:t>
            </w:r>
            <w:r>
              <w:t xml:space="preserve"> 4th Quarter of 2025</w:t>
            </w:r>
          </w:p>
          <w:p w14:paraId="3E591E87">
            <w:pPr>
              <w:spacing w:after="120"/>
            </w:pPr>
            <w:r>
              <w:rPr>
                <w:b/>
              </w:rPr>
              <w:t>Proposed date of entry into force:</w:t>
            </w:r>
            <w:r>
              <w:t xml:space="preserve"> 20 days from publication in the Official Journal of the EU (The provisions shall apply from the date of entry into force)</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422AFEE">
            <w:pPr>
              <w:spacing w:before="120" w:after="120"/>
              <w:rPr>
                <w:rFonts w:hint="eastAsia" w:eastAsia="宋体"/>
                <w:bCs/>
                <w:lang w:eastAsia="zh-CN"/>
              </w:rPr>
            </w:pPr>
            <w:r>
              <w:rPr>
                <w:b/>
              </w:rPr>
              <w:t>Final date for comments:</w:t>
            </w:r>
            <w:r>
              <w:t xml:space="preserve"> 3 October 2025</w:t>
            </w:r>
            <w:r>
              <w:rPr>
                <w:rFonts w:hint="eastAsia" w:eastAsia="宋体"/>
                <w:lang w:eastAsia="zh-CN"/>
              </w:rPr>
              <w:t>；</w:t>
            </w:r>
          </w:p>
          <w:p w14:paraId="61C403EE">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bookmarkStart w:id="10" w:name="_GoBack"/>
            <w:bookmarkEnd w:id="10"/>
          </w:p>
          <w:p w14:paraId="37D7A813">
            <w:pPr>
              <w:spacing w:before="120" w:after="120"/>
            </w:pPr>
            <w:r>
              <w:rPr>
                <w:b/>
                <w:bCs/>
              </w:rPr>
              <w:t>Contact details of agency or authority designated to handle comments regarding the notification:</w:t>
            </w:r>
            <w:r>
              <w:t xml:space="preserve"> </w:t>
            </w:r>
          </w:p>
          <w:p w14:paraId="6757C48E">
            <w:pPr>
              <w:rPr>
                <w:lang w:val="fr-CH"/>
              </w:rPr>
            </w:pPr>
            <w:r>
              <w:rPr>
                <w:lang w:val="fr-CH"/>
              </w:rPr>
              <w:t>European Commission,</w:t>
            </w:r>
          </w:p>
          <w:p w14:paraId="2D1C6BC1">
            <w:pPr>
              <w:rPr>
                <w:lang w:val="fr-CH"/>
              </w:rPr>
            </w:pPr>
            <w:r>
              <w:rPr>
                <w:lang w:val="fr-CH"/>
              </w:rPr>
              <w:t>EU-TBT Enquiry Point,</w:t>
            </w:r>
          </w:p>
          <w:p w14:paraId="365EA1BB">
            <w:pPr>
              <w:rPr>
                <w:lang w:val="fr-CH"/>
              </w:rPr>
            </w:pPr>
            <w:r>
              <w:rPr>
                <w:lang w:val="fr-CH"/>
              </w:rPr>
              <w:t>Fax: + (32) 2 299 80 43,</w:t>
            </w:r>
          </w:p>
          <w:p w14:paraId="5803F3C1">
            <w:pPr>
              <w:tabs>
                <w:tab w:val="left" w:pos="1418"/>
                <w:tab w:val="left" w:pos="2127"/>
                <w:tab w:val="left" w:pos="2835"/>
                <w:tab w:val="left" w:pos="3402"/>
              </w:tabs>
              <w:spacing w:before="120" w:after="120"/>
              <w:rPr>
                <w:b/>
                <w:bCs/>
              </w:rPr>
            </w:pPr>
            <w:r>
              <w:rPr>
                <w:lang w:val="fr-CH"/>
              </w:rPr>
              <w:t xml:space="preserve">E-mail: </w:t>
            </w:r>
            <w:r>
              <w:fldChar w:fldCharType="begin"/>
            </w:r>
            <w:r>
              <w:instrText xml:space="preserve"> HYPERLINK "mailto:grow-eu-tbt@ec.europa.eu" </w:instrText>
            </w:r>
            <w:r>
              <w:fldChar w:fldCharType="separate"/>
            </w:r>
            <w:r>
              <w:rPr>
                <w:color w:val="0000FF"/>
                <w:u w:val="single"/>
                <w:lang w:val="fr-CH"/>
              </w:rPr>
              <w:t>grow-eu-tbt@ec.europa.eu</w:t>
            </w:r>
            <w:r>
              <w:rPr>
                <w:color w:val="0000FF"/>
                <w:u w:val="single"/>
                <w:lang w:val="fr-CH"/>
              </w:rPr>
              <w:fldChar w:fldCharType="end"/>
            </w:r>
            <w:r>
              <w:t xml:space="preserve"> </w:t>
            </w:r>
          </w:p>
          <w:p w14:paraId="7AFFA533">
            <w:pPr>
              <w:spacing w:before="120" w:after="120"/>
              <w:rPr>
                <w:rFonts w:hint="eastAsia" w:eastAsia="宋体"/>
                <w:lang w:eastAsia="zh-CN"/>
              </w:rPr>
            </w:pP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5875509F">
            <w:pPr>
              <w:rPr>
                <w:iCs/>
                <w:lang w:val="fr-CH"/>
              </w:rPr>
            </w:pPr>
            <w:r>
              <w:rPr>
                <w:iCs/>
                <w:lang w:val="fr-CH"/>
              </w:rPr>
              <w:t>European Commission</w:t>
            </w:r>
          </w:p>
          <w:p w14:paraId="27A2DB93">
            <w:pPr>
              <w:rPr>
                <w:iCs/>
                <w:lang w:val="fr-CH"/>
              </w:rPr>
            </w:pPr>
            <w:r>
              <w:rPr>
                <w:iCs/>
                <w:lang w:val="fr-CH"/>
              </w:rPr>
              <w:t>EU-TBT Enquiry Point</w:t>
            </w:r>
          </w:p>
          <w:p w14:paraId="2DCE5AE3">
            <w:pPr>
              <w:rPr>
                <w:iCs/>
                <w:lang w:val="fr-CH"/>
              </w:rPr>
            </w:pPr>
            <w:r>
              <w:rPr>
                <w:iCs/>
                <w:lang w:val="fr-CH"/>
              </w:rPr>
              <w:t>Fax: + (32) 2 299 80 43</w:t>
            </w:r>
          </w:p>
          <w:p w14:paraId="6081910D">
            <w:pPr>
              <w:rPr>
                <w:iCs/>
                <w:lang w:val="fr-CH"/>
              </w:rPr>
            </w:pPr>
            <w:r>
              <w:rPr>
                <w:iCs/>
                <w:lang w:val="fr-CH"/>
              </w:rPr>
              <w:t xml:space="preserve">E-mail: </w:t>
            </w:r>
            <w:r>
              <w:fldChar w:fldCharType="begin"/>
            </w:r>
            <w:r>
              <w:instrText xml:space="preserve"> HYPERLINK "mailto:grow-eu-tbt@ec.europa.eu" </w:instrText>
            </w:r>
            <w:r>
              <w:fldChar w:fldCharType="separate"/>
            </w:r>
            <w:r>
              <w:rPr>
                <w:iCs/>
                <w:color w:val="0000FF"/>
                <w:u w:val="single"/>
                <w:lang w:val="fr-CH"/>
              </w:rPr>
              <w:t>grow-eu-tbt@ec.europa.eu</w:t>
            </w:r>
            <w:r>
              <w:rPr>
                <w:iCs/>
                <w:color w:val="0000FF"/>
                <w:u w:val="single"/>
                <w:lang w:val="fr-CH"/>
              </w:rPr>
              <w:fldChar w:fldCharType="end"/>
            </w:r>
          </w:p>
          <w:p w14:paraId="0B404C2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DD6FF73">
            <w:pPr>
              <w:pBdr>
                <w:top w:val="none" w:color="auto" w:sz="0" w:space="4"/>
                <w:bottom w:val="none" w:color="auto" w:sz="0" w:space="4"/>
              </w:pBdr>
              <w:rPr>
                <w:iCs/>
                <w:color w:val="0000FF"/>
                <w:u w:val="single"/>
              </w:rPr>
            </w:pPr>
          </w:p>
          <w:p w14:paraId="1446BB26">
            <w:pPr>
              <w:pBdr>
                <w:top w:val="none" w:color="auto" w:sz="0" w:space="4"/>
              </w:pBdr>
              <w:rPr>
                <w:iCs/>
              </w:rPr>
            </w:pPr>
            <w:r>
              <w:fldChar w:fldCharType="begin"/>
            </w:r>
            <w:r>
              <w:instrText xml:space="preserve"> HYPERLINK "https://members.wto.org/crnattachments/2025/TBT/EEC/25_05140_00_e.pdf" \t "_blank" </w:instrText>
            </w:r>
            <w:r>
              <w:fldChar w:fldCharType="separate"/>
            </w:r>
            <w:r>
              <w:rPr>
                <w:iCs/>
                <w:color w:val="0000FF"/>
                <w:u w:val="single"/>
              </w:rPr>
              <w:t>https://members.wto.org/crnattachments/2025/TBT/EEC/25_05140_00_e.pdf</w:t>
            </w:r>
            <w:r>
              <w:rPr>
                <w:iCs/>
                <w:color w:val="0000FF"/>
                <w:u w:val="single"/>
              </w:rPr>
              <w:fldChar w:fldCharType="end"/>
            </w:r>
          </w:p>
          <w:p w14:paraId="78866FA0">
            <w:pPr>
              <w:pBdr>
                <w:bottom w:val="none" w:color="auto" w:sz="0" w:space="4"/>
              </w:pBdr>
              <w:rPr>
                <w:iCs/>
              </w:rPr>
            </w:pPr>
            <w:r>
              <w:fldChar w:fldCharType="begin"/>
            </w:r>
            <w:r>
              <w:instrText xml:space="preserve"> HYPERLINK "https://members.wto.org/crnattachments/2025/TBT/EEC/25_05140_01_e.pdf" \t "_blank" </w:instrText>
            </w:r>
            <w:r>
              <w:fldChar w:fldCharType="separate"/>
            </w:r>
            <w:r>
              <w:rPr>
                <w:iCs/>
                <w:color w:val="0000FF"/>
                <w:u w:val="single"/>
              </w:rPr>
              <w:t>https://members.wto.org/crnattachments/2025/TBT/EEC/25_05140_01_e.pdf</w:t>
            </w:r>
            <w:r>
              <w:rPr>
                <w:iCs/>
                <w:color w:val="0000FF"/>
                <w:u w:val="single"/>
              </w:rPr>
              <w:fldChar w:fldCharType="end"/>
            </w:r>
          </w:p>
          <w:p w14:paraId="708B910E">
            <w:pPr>
              <w:keepNext/>
              <w:keepLines/>
              <w:pBdr>
                <w:top w:val="none" w:color="auto" w:sz="0" w:space="4"/>
              </w:pBdr>
              <w:spacing w:after="120"/>
              <w:rPr>
                <w:bCs/>
              </w:rPr>
            </w:pPr>
          </w:p>
        </w:tc>
      </w:tr>
    </w:tbl>
    <w:p w14:paraId="1B85118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default" w:eastAsia="宋体"/>
              <w:b/>
              <w:szCs w:val="16"/>
              <w:lang w:val="en-US" w:eastAsia="zh-CN"/>
            </w:rPr>
          </w:pPr>
          <w:bookmarkStart w:id="1" w:name="bmkSymbols"/>
          <w:r>
            <w:rPr>
              <w:b/>
              <w:szCs w:val="16"/>
            </w:rPr>
            <w:t>G/TBT/N/EU/11</w:t>
          </w:r>
          <w:bookmarkEnd w:id="1"/>
          <w:r>
            <w:rPr>
              <w:rFonts w:hint="eastAsia" w:eastAsia="宋体"/>
              <w:b/>
              <w:szCs w:val="16"/>
              <w:lang w:val="en-US" w:eastAsia="zh-CN"/>
            </w:rPr>
            <w:t>50</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bmkDate"/>
          <w:bookmarkStart w:id="3" w:name="spsDateDistribution"/>
          <w:r>
            <w:rPr>
              <w:szCs w:val="16"/>
            </w:rPr>
            <w:t>4 August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4977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31A21B58"/>
    <w:rsid w:val="436774AC"/>
    <w:rsid w:val="553158DD"/>
    <w:rsid w:val="558F0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nhideWhenUsed="0" w:uiPriority="5" w:semiHidden="0" w:name="footnote text"/>
    <w:lsdException w:qFormat="1" w:uiPriority="99" w:semiHidden="0" w:name="annotation text"/>
    <w:lsdException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480</Words>
  <Characters>3076</Characters>
  <Lines>21</Lines>
  <Paragraphs>6</Paragraphs>
  <TotalTime>0</TotalTime>
  <ScaleCrop>false</ScaleCrop>
  <LinksUpToDate>false</LinksUpToDate>
  <CharactersWithSpaces>3516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2025-08-04T14:05:01Z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