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D95D1">
      <w:pPr>
        <w:pStyle w:val="84"/>
        <w:rPr>
          <w:caps w:val="0"/>
          <w:kern w:val="0"/>
        </w:rPr>
      </w:pPr>
      <w:r>
        <w:rPr>
          <w:caps w:val="0"/>
          <w:kern w:val="0"/>
        </w:rPr>
        <w:t>NOTIFICATION</w:t>
      </w:r>
    </w:p>
    <w:p w14:paraId="2E4966C4">
      <w:pPr>
        <w:jc w:val="center"/>
      </w:pPr>
      <w:r>
        <w:t>The following notification is being circulated in accordance with Article 10.6</w:t>
      </w:r>
    </w:p>
    <w:p w14:paraId="50F84026"/>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CAE55B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EC1CE90">
            <w:pPr>
              <w:spacing w:before="120" w:after="120"/>
              <w:jc w:val="left"/>
            </w:pPr>
            <w:r>
              <w:rPr>
                <w:b/>
              </w:rPr>
              <w:t>1.</w:t>
            </w:r>
          </w:p>
        </w:tc>
        <w:tc>
          <w:tcPr>
            <w:tcW w:w="8546" w:type="dxa"/>
            <w:tcBorders>
              <w:bottom w:val="single" w:color="auto" w:sz="6" w:space="0"/>
            </w:tcBorders>
            <w:shd w:val="clear" w:color="auto" w:fill="auto"/>
          </w:tcPr>
          <w:p w14:paraId="4C1E6592">
            <w:pPr>
              <w:spacing w:before="120" w:after="120"/>
            </w:pPr>
            <w:r>
              <w:rPr>
                <w:b/>
              </w:rPr>
              <w:t>Notifying Member:</w:t>
            </w:r>
            <w:r>
              <w:t xml:space="preserve"> </w:t>
            </w:r>
            <w:r>
              <w:rPr>
                <w:u w:val="single"/>
              </w:rPr>
              <w:t>TÜRKIYE</w:t>
            </w:r>
          </w:p>
          <w:p w14:paraId="452B6429">
            <w:pPr>
              <w:spacing w:after="120"/>
            </w:pPr>
            <w:r>
              <w:rPr>
                <w:b/>
              </w:rPr>
              <w:t>If applicable, name of local government involved (Article 3.2 and 7.2):</w:t>
            </w:r>
            <w:r>
              <w:t xml:space="preserve"> </w:t>
            </w:r>
          </w:p>
        </w:tc>
      </w:tr>
      <w:tr w14:paraId="42E96E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1BC2CC">
            <w:pPr>
              <w:spacing w:before="120" w:after="120"/>
              <w:jc w:val="left"/>
            </w:pPr>
            <w:r>
              <w:rPr>
                <w:b/>
              </w:rPr>
              <w:t>2.</w:t>
            </w:r>
          </w:p>
        </w:tc>
        <w:tc>
          <w:tcPr>
            <w:tcW w:w="8546" w:type="dxa"/>
            <w:tcBorders>
              <w:top w:val="single" w:color="auto" w:sz="6" w:space="0"/>
              <w:bottom w:val="single" w:color="auto" w:sz="6" w:space="0"/>
            </w:tcBorders>
            <w:shd w:val="clear" w:color="auto" w:fill="auto"/>
          </w:tcPr>
          <w:p w14:paraId="3F0CDA1C">
            <w:pPr>
              <w:spacing w:before="120" w:after="120"/>
            </w:pPr>
            <w:r>
              <w:rPr>
                <w:b/>
              </w:rPr>
              <w:t>Agency responsible:</w:t>
            </w:r>
            <w:r>
              <w:t xml:space="preserve"> </w:t>
            </w:r>
          </w:p>
          <w:p w14:paraId="6B184161">
            <w:pPr>
              <w:spacing w:after="120"/>
            </w:pPr>
            <w:r>
              <w:t>Ministry of Agriculture and Forestry / General Directorate of Food and Control</w:t>
            </w:r>
          </w:p>
          <w:p w14:paraId="3C206C5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1C741E8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3DE1C8">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310B6024">
            <w:pPr>
              <w:spacing w:before="120" w:after="120"/>
            </w:pPr>
            <w:r>
              <w:rPr>
                <w:b/>
              </w:rPr>
              <w:t>Notified under Article 2.9.2 [X], 2.10.1 [ ], 5.6.2 [ ], 5.7.1 [ ], 3.2 [ ], 7.2 [ ], other:</w:t>
            </w:r>
            <w:r>
              <w:t xml:space="preserve"> </w:t>
            </w:r>
          </w:p>
        </w:tc>
      </w:tr>
      <w:tr w14:paraId="0BCCDD2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DC48FB1">
            <w:pPr>
              <w:spacing w:before="120" w:after="120"/>
              <w:jc w:val="left"/>
            </w:pPr>
            <w:r>
              <w:rPr>
                <w:b/>
              </w:rPr>
              <w:t>4.</w:t>
            </w:r>
          </w:p>
        </w:tc>
        <w:tc>
          <w:tcPr>
            <w:tcW w:w="8546" w:type="dxa"/>
            <w:tcBorders>
              <w:top w:val="single" w:color="auto" w:sz="6" w:space="0"/>
              <w:bottom w:val="single" w:color="auto" w:sz="6" w:space="0"/>
            </w:tcBorders>
            <w:shd w:val="clear" w:color="auto" w:fill="auto"/>
          </w:tcPr>
          <w:p w14:paraId="68C940EE">
            <w:pPr>
              <w:spacing w:before="120" w:after="120"/>
            </w:pPr>
            <w:r>
              <w:rPr>
                <w:b/>
              </w:rPr>
              <w:t>Products covered (HS or CCCN where applicable, otherwise national tariff heading. ICS numbers may be provided in addition, where applicable):</w:t>
            </w:r>
            <w:r>
              <w:t xml:space="preserve">  Recycled plastic materials and articles intended to come into contact with food</w:t>
            </w:r>
          </w:p>
        </w:tc>
      </w:tr>
      <w:tr w14:paraId="38F83C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D4DE4B5">
            <w:pPr>
              <w:spacing w:before="120" w:after="120"/>
              <w:jc w:val="left"/>
            </w:pPr>
            <w:r>
              <w:rPr>
                <w:b/>
              </w:rPr>
              <w:t>5.</w:t>
            </w:r>
          </w:p>
        </w:tc>
        <w:tc>
          <w:tcPr>
            <w:tcW w:w="8546" w:type="dxa"/>
            <w:tcBorders>
              <w:top w:val="single" w:color="auto" w:sz="6" w:space="0"/>
              <w:bottom w:val="single" w:color="auto" w:sz="6" w:space="0"/>
            </w:tcBorders>
            <w:shd w:val="clear" w:color="auto" w:fill="auto"/>
          </w:tcPr>
          <w:p w14:paraId="3250F83B">
            <w:pPr>
              <w:spacing w:before="120" w:after="120"/>
            </w:pPr>
            <w:r>
              <w:rPr>
                <w:b/>
              </w:rPr>
              <w:t>Title, number of pages and language(s) of the notified document:</w:t>
            </w:r>
            <w:r>
              <w:t xml:space="preserve"> Regulation on the Use of Recycled Plastics in Materials and Articles Intended to Come into Contact with Food</w:t>
            </w:r>
          </w:p>
        </w:tc>
      </w:tr>
      <w:tr w14:paraId="49B235B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2632DB12">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56244D31">
            <w:pPr>
              <w:spacing w:before="120" w:after="120"/>
            </w:pPr>
            <w:r>
              <w:rPr>
                <w:b/>
              </w:rPr>
              <w:t>Description of content:</w:t>
            </w:r>
            <w:r>
              <w:t xml:space="preserve"> This Regulation lays down the procedures and principles for the production of recycled plastics to be used in the production of plastic materials and articles that come into contact with food, as well as the rules regarding food contact materials and articles containing recycled plastics.</w:t>
            </w:r>
          </w:p>
        </w:tc>
      </w:tr>
      <w:tr w14:paraId="35428ED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54C4141C">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1445376">
            <w:pPr>
              <w:spacing w:before="120" w:after="120"/>
              <w:rPr>
                <w:b/>
              </w:rPr>
            </w:pPr>
            <w:r>
              <w:rPr>
                <w:b/>
              </w:rPr>
              <w:t>Objective and rationale, including the nature of urgent problems where applicable:</w:t>
            </w:r>
            <w:r>
              <w:t xml:space="preserve"> Protection of human health or safety</w:t>
            </w:r>
          </w:p>
        </w:tc>
      </w:tr>
      <w:tr w14:paraId="3A57B8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556D9D33">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C0B0537">
            <w:pPr>
              <w:spacing w:before="120" w:after="120"/>
              <w:rPr>
                <w:bCs/>
              </w:rPr>
            </w:pPr>
            <w:r>
              <w:rPr>
                <w:b/>
              </w:rPr>
              <w:t>Relevant documents:</w:t>
            </w:r>
            <w:r>
              <w:t xml:space="preserve"> </w:t>
            </w:r>
          </w:p>
          <w:p w14:paraId="034C73AC">
            <w:pPr>
              <w:spacing w:before="120" w:after="120"/>
            </w:pPr>
            <w:r>
              <w:t>- Veterinary, Phytosanitary, Food and Feed Law No : 5996 (G/SPS/N/TUR/9).</w:t>
            </w:r>
          </w:p>
          <w:p w14:paraId="5D4F9FC6">
            <w:pPr>
              <w:spacing w:before="120" w:after="120"/>
            </w:pPr>
            <w:r>
              <w:t>- Commission Regulation (EU) 2022/1616 of 15 September 2022 on recycled plastic materials and articles intended to come into with foods and repealing Regulation (EC) No 282/2008</w:t>
            </w:r>
          </w:p>
          <w:p w14:paraId="33B4EA74">
            <w:pPr>
              <w:spacing w:before="120" w:after="120"/>
            </w:pPr>
            <w:r>
              <w:t>- Commission Regulation (EC) 2023/2006 of 22 December 2006 on good manufacturing practice for metarials and articles intended to come into with food</w:t>
            </w:r>
          </w:p>
        </w:tc>
      </w:tr>
      <w:tr w14:paraId="429E2B9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52465B35">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02E3FAD0">
            <w:pPr>
              <w:spacing w:before="120" w:after="120"/>
            </w:pPr>
            <w:r>
              <w:rPr>
                <w:b/>
              </w:rPr>
              <w:t>Proposed date of adoption:</w:t>
            </w:r>
            <w:r>
              <w:t xml:space="preserve"> 15 April 2026</w:t>
            </w:r>
          </w:p>
          <w:p w14:paraId="1C5BDDCA">
            <w:pPr>
              <w:spacing w:after="120"/>
            </w:pPr>
            <w:r>
              <w:rPr>
                <w:b/>
              </w:rPr>
              <w:t>Proposed date of entry into force:</w:t>
            </w:r>
            <w:r>
              <w:t xml:space="preserve"> This regulation enters into force on the date of its publication.</w:t>
            </w:r>
          </w:p>
        </w:tc>
      </w:tr>
      <w:tr w14:paraId="7994CA2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8FC5332">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FEBC461">
            <w:pPr>
              <w:spacing w:before="120" w:after="120"/>
              <w:rPr>
                <w:bCs/>
              </w:rPr>
            </w:pPr>
            <w:r>
              <w:rPr>
                <w:b/>
              </w:rPr>
              <w:t>Final date for comments:</w:t>
            </w:r>
            <w:r>
              <w:t xml:space="preserve"> 30 September 2025</w:t>
            </w:r>
          </w:p>
          <w:p w14:paraId="32D993B5">
            <w:pPr>
              <w:tabs>
                <w:tab w:val="left" w:pos="1418"/>
                <w:tab w:val="left" w:pos="2127"/>
                <w:tab w:val="left" w:pos="2835"/>
                <w:tab w:val="left" w:pos="3402"/>
              </w:tabs>
              <w:spacing w:before="120" w:after="120"/>
              <w:rPr>
                <w:b/>
                <w:bCs/>
              </w:rPr>
            </w:pPr>
            <w:r>
              <w:rPr>
                <w:b/>
                <w:bCs/>
              </w:rPr>
              <w:t>[X] 60 days from notification</w:t>
            </w:r>
            <w:r>
              <w:t xml:space="preserve"> </w:t>
            </w:r>
          </w:p>
          <w:p w14:paraId="600451C1">
            <w:pPr>
              <w:spacing w:before="120" w:after="120"/>
            </w:pPr>
            <w:r>
              <w:rPr>
                <w:b/>
                <w:bCs/>
              </w:rPr>
              <w:t>Contact details of agency or authority designated to handle comments regarding the notification:</w:t>
            </w:r>
            <w:r>
              <w:t xml:space="preserve"> </w:t>
            </w:r>
          </w:p>
          <w:p w14:paraId="20C15280">
            <w:r>
              <w:t>Ministry of Trade</w:t>
            </w:r>
          </w:p>
          <w:p w14:paraId="3386B5DE">
            <w:r>
              <w:t>DG Product Safety and Inspection</w:t>
            </w:r>
          </w:p>
          <w:p w14:paraId="51FBD66C">
            <w:r>
              <w:t>T.C. Ticaret Bakanligi</w:t>
            </w:r>
          </w:p>
          <w:p w14:paraId="455DBFBB">
            <w:r>
              <w:t>Söðütözü Mah. 2176. Sk.</w:t>
            </w:r>
          </w:p>
          <w:p w14:paraId="38914240">
            <w:r>
              <w:t>No:63, Çankaya</w:t>
            </w:r>
          </w:p>
          <w:p w14:paraId="37A75882">
            <w:r>
              <w:t>Ankara, 06530</w:t>
            </w:r>
          </w:p>
          <w:p w14:paraId="29FB431A">
            <w:r>
              <w:t>06530</w:t>
            </w:r>
          </w:p>
          <w:p w14:paraId="274A080D">
            <w:r>
              <w:t>Tel: +(90 312) 204 89 75; +(90 312) 204 9286</w:t>
            </w:r>
          </w:p>
          <w:p w14:paraId="5E2398C3">
            <w:r>
              <w:t>Fax: +(90 312) 212 87 68; +(90 312) 204 86 38</w:t>
            </w:r>
          </w:p>
          <w:p w14:paraId="16A859F8">
            <w:r>
              <w:t xml:space="preserve">Email: </w:t>
            </w:r>
            <w:r>
              <w:fldChar w:fldCharType="begin"/>
            </w:r>
            <w:r>
              <w:instrText xml:space="preserve"> HYPERLINK "mailto:tbt@ticaret.gov.tr" </w:instrText>
            </w:r>
            <w:r>
              <w:fldChar w:fldCharType="separate"/>
            </w:r>
            <w:r>
              <w:rPr>
                <w:color w:val="0000FF"/>
                <w:u w:val="single"/>
              </w:rPr>
              <w:t>tbt@ticaret.gov.tr</w:t>
            </w:r>
            <w:r>
              <w:rPr>
                <w:color w:val="0000FF"/>
                <w:u w:val="single"/>
              </w:rPr>
              <w:fldChar w:fldCharType="end"/>
            </w:r>
          </w:p>
          <w:p w14:paraId="53902C80">
            <w:r>
              <w:t xml:space="preserve">Website: </w:t>
            </w:r>
            <w:r>
              <w:fldChar w:fldCharType="begin"/>
            </w:r>
            <w:r>
              <w:instrText xml:space="preserve"> HYPERLINK "https://teknikengel.ticaret.gov.tr/" \t "_blank" </w:instrText>
            </w:r>
            <w:r>
              <w:fldChar w:fldCharType="separate"/>
            </w:r>
            <w:r>
              <w:rPr>
                <w:color w:val="0000FF"/>
                <w:u w:val="single"/>
              </w:rPr>
              <w:t>https://teknikengel.ticaret.gov.tr/</w:t>
            </w:r>
            <w:r>
              <w:rPr>
                <w:color w:val="0000FF"/>
                <w:u w:val="single"/>
              </w:rPr>
              <w:fldChar w:fldCharType="end"/>
            </w:r>
          </w:p>
          <w:p w14:paraId="5D08072F">
            <w:r>
              <w:t>OR</w:t>
            </w:r>
          </w:p>
          <w:p w14:paraId="18088A5E">
            <w:r>
              <w:t>Ministry of Agriculture and Forestry</w:t>
            </w:r>
          </w:p>
          <w:p w14:paraId="1AB0E808">
            <w:r>
              <w:t>General Directorate of Food and Control</w:t>
            </w:r>
          </w:p>
          <w:p w14:paraId="0FC23102">
            <w:r>
              <w:t>Eskisehir Yolu 9. Km. Lodumlu Ankara - Türkiye</w:t>
            </w:r>
          </w:p>
          <w:p w14:paraId="27DED2C0">
            <w:r>
              <w:t>Tel: +(90) 312 258 77 53</w:t>
            </w:r>
          </w:p>
          <w:p w14:paraId="2A47CBFE">
            <w:r>
              <w:t>Fax: +(90) 312 258 77 60</w:t>
            </w:r>
          </w:p>
          <w:p w14:paraId="1F69AA9D">
            <w:r>
              <w:t xml:space="preserve">E-mail/Internet: </w:t>
            </w:r>
            <w:r>
              <w:fldChar w:fldCharType="begin"/>
            </w:r>
            <w:r>
              <w:instrText xml:space="preserve"> HYPERLINK "mailto:sps@tarimorman.gov.tr" </w:instrText>
            </w:r>
            <w:r>
              <w:fldChar w:fldCharType="separate"/>
            </w:r>
            <w:r>
              <w:rPr>
                <w:color w:val="0000FF"/>
                <w:u w:val="single"/>
              </w:rPr>
              <w:t>sps@tarimorman.gov.tr</w:t>
            </w:r>
            <w:r>
              <w:rPr>
                <w:color w:val="0000FF"/>
                <w:u w:val="single"/>
              </w:rPr>
              <w:fldChar w:fldCharType="end"/>
            </w:r>
          </w:p>
          <w:p w14:paraId="2BB1745B">
            <w:pPr>
              <w:spacing w:before="120" w:after="120"/>
            </w:pPr>
            <w:r>
              <w:t xml:space="preserve">Website: </w:t>
            </w:r>
            <w:r>
              <w:fldChar w:fldCharType="begin"/>
            </w:r>
            <w:r>
              <w:instrText xml:space="preserve"> HYPERLINK "http://www.tarimorman.gov.tr" \t "_blank" </w:instrText>
            </w:r>
            <w:r>
              <w:fldChar w:fldCharType="separate"/>
            </w:r>
            <w:r>
              <w:rPr>
                <w:color w:val="0000FF"/>
                <w:u w:val="single"/>
              </w:rPr>
              <w:t>http://www.tarimorman.gov.tr</w:t>
            </w:r>
            <w:r>
              <w:rPr>
                <w:color w:val="0000FF"/>
                <w:u w:val="single"/>
              </w:rPr>
              <w:fldChar w:fldCharType="end"/>
            </w:r>
            <w:bookmarkStart w:id="10" w:name="_GoBack"/>
            <w:bookmarkEnd w:id="10"/>
          </w:p>
        </w:tc>
      </w:tr>
      <w:tr w14:paraId="14AB18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C1C9C73">
            <w:pPr>
              <w:keepNext/>
              <w:keepLines/>
              <w:spacing w:before="120" w:after="120"/>
              <w:jc w:val="left"/>
              <w:rPr>
                <w:b/>
              </w:rPr>
            </w:pPr>
            <w:r>
              <w:rPr>
                <w:b/>
              </w:rPr>
              <w:t>11.</w:t>
            </w:r>
          </w:p>
        </w:tc>
        <w:tc>
          <w:tcPr>
            <w:tcW w:w="8546" w:type="dxa"/>
            <w:tcBorders>
              <w:top w:val="single" w:color="auto" w:sz="6" w:space="0"/>
            </w:tcBorders>
            <w:shd w:val="clear" w:color="auto" w:fill="auto"/>
          </w:tcPr>
          <w:p w14:paraId="50AAD6E5">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2EE4E25A">
            <w:pPr>
              <w:rPr>
                <w:iCs/>
              </w:rPr>
            </w:pPr>
            <w:r>
              <w:rPr>
                <w:iCs/>
              </w:rPr>
              <w:t>Türkiye-TBT Enquiry Point</w:t>
            </w:r>
          </w:p>
          <w:p w14:paraId="1DCC6A18">
            <w:pPr>
              <w:rPr>
                <w:iCs/>
              </w:rPr>
            </w:pPr>
            <w:r>
              <w:rPr>
                <w:iCs/>
              </w:rPr>
              <w:t>Ministry of Trade</w:t>
            </w:r>
          </w:p>
          <w:p w14:paraId="460ED490">
            <w:pPr>
              <w:rPr>
                <w:iCs/>
              </w:rPr>
            </w:pPr>
            <w:r>
              <w:rPr>
                <w:iCs/>
              </w:rPr>
              <w:t>DG of Product Safety and Inspection</w:t>
            </w:r>
          </w:p>
          <w:p w14:paraId="41FD7AD8">
            <w:pPr>
              <w:rPr>
                <w:iCs/>
              </w:rPr>
            </w:pPr>
            <w:r>
              <w:rPr>
                <w:iCs/>
              </w:rPr>
              <w:t>Söğütözü Mah. 2176 Sk. No:63, 06510 Çankaya/Ankara</w:t>
            </w:r>
          </w:p>
          <w:p w14:paraId="345E84D7">
            <w:pPr>
              <w:rPr>
                <w:iCs/>
              </w:rPr>
            </w:pPr>
            <w:r>
              <w:rPr>
                <w:iCs/>
              </w:rPr>
              <w:t>Telephone: +90 312 204 89 75</w:t>
            </w:r>
          </w:p>
          <w:p w14:paraId="291AF3D0">
            <w:pPr>
              <w:rPr>
                <w:iCs/>
              </w:rPr>
            </w:pPr>
            <w:r>
              <w:rPr>
                <w:iCs/>
              </w:rPr>
              <w:t>Fax: +90 312 212 68 64</w:t>
            </w:r>
          </w:p>
          <w:p w14:paraId="0A0845E3">
            <w:pPr>
              <w:rPr>
                <w:iCs/>
              </w:rPr>
            </w:pPr>
            <w:r>
              <w:rPr>
                <w:iCs/>
              </w:rPr>
              <w:t xml:space="preserve">E-mail: </w:t>
            </w:r>
            <w:r>
              <w:fldChar w:fldCharType="begin"/>
            </w:r>
            <w:r>
              <w:instrText xml:space="preserve"> HYPERLINK "mailto:tbt@ticaret.gov.tr" </w:instrText>
            </w:r>
            <w:r>
              <w:fldChar w:fldCharType="separate"/>
            </w:r>
            <w:r>
              <w:rPr>
                <w:iCs/>
                <w:color w:val="0000FF"/>
                <w:u w:val="single"/>
              </w:rPr>
              <w:t>tbt@ticaret.gov.tr</w:t>
            </w:r>
            <w:r>
              <w:rPr>
                <w:iCs/>
                <w:color w:val="0000FF"/>
                <w:u w:val="single"/>
              </w:rPr>
              <w:fldChar w:fldCharType="end"/>
            </w:r>
          </w:p>
          <w:p w14:paraId="2B0E0321">
            <w:pPr>
              <w:keepNext/>
              <w:keepLines/>
              <w:pBdr>
                <w:top w:val="none" w:color="auto" w:sz="0" w:space="4"/>
              </w:pBdr>
              <w:spacing w:after="120"/>
              <w:rPr>
                <w:bCs/>
              </w:rPr>
            </w:pPr>
            <w:r>
              <w:rPr>
                <w:iCs/>
              </w:rPr>
              <w:t xml:space="preserve">Website: </w:t>
            </w:r>
            <w:r>
              <w:fldChar w:fldCharType="begin"/>
            </w:r>
            <w:r>
              <w:instrText xml:space="preserve"> HYPERLINK "http://www.teknikengel.gov.tr" \t "_blank" </w:instrText>
            </w:r>
            <w:r>
              <w:fldChar w:fldCharType="separate"/>
            </w:r>
            <w:r>
              <w:rPr>
                <w:iCs/>
                <w:color w:val="0000FF"/>
                <w:u w:val="single"/>
              </w:rPr>
              <w:t>http://www.teknikengel.gov.tr</w:t>
            </w:r>
            <w:r>
              <w:rPr>
                <w:iCs/>
                <w:color w:val="0000FF"/>
                <w:u w:val="single"/>
              </w:rPr>
              <w:fldChar w:fldCharType="end"/>
            </w:r>
          </w:p>
          <w:p w14:paraId="63D80654">
            <w:pPr>
              <w:keepNext/>
              <w:keepLines/>
              <w:pBdr>
                <w:top w:val="none" w:color="auto" w:sz="0" w:space="4"/>
              </w:pBdr>
              <w:spacing w:after="120"/>
              <w:rPr>
                <w:bCs/>
              </w:rPr>
            </w:pPr>
          </w:p>
          <w:p w14:paraId="7F1F824E">
            <w:pPr>
              <w:pBdr>
                <w:top w:val="none" w:color="auto" w:sz="0" w:space="4"/>
                <w:bottom w:val="none" w:color="auto" w:sz="0" w:space="4"/>
              </w:pBdr>
              <w:rPr>
                <w:iCs/>
              </w:rPr>
            </w:pPr>
            <w:r>
              <w:fldChar w:fldCharType="begin"/>
            </w:r>
            <w:r>
              <w:instrText xml:space="preserve"> HYPERLINK "https://members.wto.org/crnattachments/2025/TBT/TUR/25_05100_00_x.pdf" \t "_blank" </w:instrText>
            </w:r>
            <w:r>
              <w:fldChar w:fldCharType="separate"/>
            </w:r>
            <w:r>
              <w:rPr>
                <w:iCs/>
                <w:color w:val="0000FF"/>
                <w:u w:val="single"/>
              </w:rPr>
              <w:t>https://members.wto.org/crnattachments/2025/TBT/TUR/25_05100_00_x.pdf</w:t>
            </w:r>
            <w:r>
              <w:rPr>
                <w:iCs/>
                <w:color w:val="0000FF"/>
                <w:u w:val="single"/>
              </w:rPr>
              <w:fldChar w:fldCharType="end"/>
            </w:r>
          </w:p>
          <w:p w14:paraId="7945BC92">
            <w:pPr>
              <w:keepNext/>
              <w:keepLines/>
              <w:pBdr>
                <w:top w:val="none" w:color="auto" w:sz="0" w:space="4"/>
              </w:pBdr>
              <w:spacing w:after="120"/>
              <w:rPr>
                <w:bCs/>
              </w:rPr>
            </w:pPr>
            <w:r>
              <w:fldChar w:fldCharType="begin"/>
            </w:r>
            <w:r>
              <w:instrText xml:space="preserve"> HYPERLINK "https://www.tarimorman.gov.tr/GKGM/Duyuru/656/Mevzuat-Taslagi-Geri-Donusturulmus-Plastiklerin-Gida-Ile-Temas-Eden-Madde-Ve-Malzemelerde-Kullanimina-Dair-Yonetmelik" \t "_blank" </w:instrText>
            </w:r>
            <w:r>
              <w:fldChar w:fldCharType="separate"/>
            </w:r>
            <w:r>
              <w:rPr>
                <w:iCs/>
                <w:color w:val="0000FF"/>
                <w:u w:val="single"/>
              </w:rPr>
              <w:t>https://www.tarimorman.gov.tr/GKGM/Duyuru/656/Mevzuat-Taslagi-Geri-Donusturulmus-Plastiklerin-Gida-Ile-Temas-Eden-Madde-Ve-Malzemelerde-Kullanimina-Dair-Yonetmelik</w:t>
            </w:r>
            <w:r>
              <w:rPr>
                <w:iCs/>
                <w:color w:val="0000FF"/>
                <w:u w:val="single"/>
              </w:rPr>
              <w:fldChar w:fldCharType="end"/>
            </w:r>
          </w:p>
        </w:tc>
      </w:tr>
    </w:tbl>
    <w:p w14:paraId="5F9C7E9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36146">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DA70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0C946">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0A0BC">
    <w:pPr>
      <w:pStyle w:val="58"/>
      <w:pBdr>
        <w:bottom w:val="single" w:color="auto" w:sz="4" w:space="1"/>
      </w:pBdr>
      <w:tabs>
        <w:tab w:val="clear" w:pos="4513"/>
        <w:tab w:val="clear" w:pos="9027"/>
      </w:tabs>
      <w:jc w:val="center"/>
    </w:pPr>
    <w:bookmarkStart w:id="0" w:name="spsSymbolHeader"/>
    <w:r>
      <w:t>G/TBT/N/TUR/225</w:t>
    </w:r>
    <w:bookmarkEnd w:id="0"/>
  </w:p>
  <w:p w14:paraId="232328E9">
    <w:pPr>
      <w:pStyle w:val="58"/>
      <w:pBdr>
        <w:bottom w:val="single" w:color="auto" w:sz="4" w:space="1"/>
      </w:pBdr>
      <w:tabs>
        <w:tab w:val="clear" w:pos="4513"/>
        <w:tab w:val="clear" w:pos="9027"/>
      </w:tabs>
      <w:jc w:val="center"/>
    </w:pPr>
  </w:p>
  <w:p w14:paraId="16E5399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2DFA3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0A605">
    <w:pPr>
      <w:pStyle w:val="58"/>
      <w:pBdr>
        <w:bottom w:val="single" w:color="auto" w:sz="4" w:space="1"/>
      </w:pBdr>
      <w:tabs>
        <w:tab w:val="clear" w:pos="4513"/>
        <w:tab w:val="clear" w:pos="9027"/>
      </w:tabs>
      <w:jc w:val="center"/>
    </w:pPr>
    <w:r>
      <w:t>tbtSymbol</w:t>
    </w:r>
  </w:p>
  <w:p w14:paraId="1E8DDC0B">
    <w:pPr>
      <w:pStyle w:val="58"/>
      <w:pBdr>
        <w:bottom w:val="single" w:color="auto" w:sz="4" w:space="1"/>
      </w:pBdr>
      <w:tabs>
        <w:tab w:val="clear" w:pos="4513"/>
        <w:tab w:val="clear" w:pos="9027"/>
      </w:tabs>
      <w:jc w:val="center"/>
    </w:pPr>
  </w:p>
  <w:p w14:paraId="433F5DC0">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70FC5AB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5D615C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A8F3632">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231EF628">
          <w:pPr>
            <w:jc w:val="right"/>
            <w:rPr>
              <w:b/>
              <w:color w:val="FF0000"/>
              <w:szCs w:val="16"/>
            </w:rPr>
          </w:pPr>
        </w:p>
      </w:tc>
    </w:tr>
    <w:bookmarkEnd w:id="1"/>
    <w:tr w14:paraId="277A1B2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10E447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B64721B">
          <w:pPr>
            <w:jc w:val="right"/>
            <w:rPr>
              <w:b/>
              <w:szCs w:val="16"/>
            </w:rPr>
          </w:pPr>
        </w:p>
      </w:tc>
    </w:tr>
    <w:tr w14:paraId="0FA4DBB5">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26F5FA3">
          <w:pPr>
            <w:jc w:val="left"/>
            <w:rPr>
              <w:lang w:eastAsia="en-GB"/>
            </w:rPr>
          </w:pPr>
        </w:p>
      </w:tc>
      <w:tc>
        <w:tcPr>
          <w:tcW w:w="5448" w:type="dxa"/>
          <w:gridSpan w:val="2"/>
          <w:shd w:val="clear" w:color="auto" w:fill="FFFFFF"/>
          <w:tcMar>
            <w:left w:w="108" w:type="dxa"/>
            <w:right w:w="108" w:type="dxa"/>
          </w:tcMar>
        </w:tcPr>
        <w:p w14:paraId="55B4AEDB">
          <w:pPr>
            <w:jc w:val="right"/>
            <w:rPr>
              <w:rFonts w:hint="eastAsia" w:eastAsia="宋体"/>
              <w:b/>
              <w:szCs w:val="16"/>
              <w:lang w:eastAsia="zh-CN"/>
            </w:rPr>
          </w:pPr>
          <w:bookmarkStart w:id="2" w:name="bmkSymbols"/>
          <w:r>
            <w:rPr>
              <w:b/>
              <w:szCs w:val="16"/>
            </w:rPr>
            <w:t>G/TBT/N/TUR/22</w:t>
          </w:r>
          <w:bookmarkEnd w:id="2"/>
          <w:r>
            <w:rPr>
              <w:rFonts w:hint="eastAsia" w:eastAsia="宋体"/>
              <w:b/>
              <w:szCs w:val="16"/>
              <w:lang w:val="en-US" w:eastAsia="zh-CN"/>
            </w:rPr>
            <w:t>6</w:t>
          </w:r>
        </w:p>
      </w:tc>
    </w:tr>
    <w:tr w14:paraId="08E78330">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28D618E"/>
      </w:tc>
      <w:tc>
        <w:tcPr>
          <w:tcW w:w="5448" w:type="dxa"/>
          <w:gridSpan w:val="2"/>
          <w:shd w:val="clear" w:color="auto" w:fill="FFFFFF"/>
          <w:tcMar>
            <w:left w:w="108" w:type="dxa"/>
            <w:right w:w="108" w:type="dxa"/>
          </w:tcMar>
          <w:vAlign w:val="center"/>
        </w:tcPr>
        <w:p w14:paraId="44E46445">
          <w:pPr>
            <w:jc w:val="right"/>
            <w:rPr>
              <w:szCs w:val="16"/>
            </w:rPr>
          </w:pPr>
          <w:bookmarkStart w:id="3" w:name="spsDateDistribution"/>
          <w:bookmarkStart w:id="4" w:name="bmkDate"/>
          <w:r>
            <w:rPr>
              <w:szCs w:val="16"/>
            </w:rPr>
            <w:t>1 August 2025</w:t>
          </w:r>
          <w:bookmarkEnd w:id="3"/>
          <w:bookmarkEnd w:id="4"/>
        </w:p>
      </w:tc>
    </w:tr>
    <w:tr w14:paraId="01E4DF7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4A06CEE">
          <w:pPr>
            <w:jc w:val="left"/>
            <w:rPr>
              <w:b/>
            </w:rPr>
          </w:pPr>
          <w:bookmarkStart w:id="5" w:name="bmkSerial"/>
          <w:r>
            <w:rPr>
              <w:b w:val="0"/>
              <w:color w:val="FF0000"/>
            </w:rPr>
            <w:t>(25-</w:t>
          </w:r>
          <w:r>
            <w:rPr>
              <w:rFonts w:hint="eastAsia" w:eastAsia="宋体"/>
              <w:b w:val="0"/>
              <w:color w:val="FF0000"/>
              <w:lang w:val="en-US" w:eastAsia="zh-CN"/>
            </w:rPr>
            <w:t>49</w:t>
          </w:r>
          <w:r>
            <w:rPr>
              <w:b w:val="0"/>
              <w:color w:val="FF0000"/>
            </w:rPr>
            <w:t>63)</w:t>
          </w:r>
          <w:bookmarkEnd w:id="5"/>
        </w:p>
      </w:tc>
      <w:tc>
        <w:tcPr>
          <w:tcW w:w="3325" w:type="dxa"/>
          <w:tcBorders>
            <w:bottom w:val="single" w:color="auto" w:sz="4" w:space="0"/>
          </w:tcBorders>
          <w:tcMar>
            <w:top w:w="0" w:type="dxa"/>
            <w:left w:w="108" w:type="dxa"/>
            <w:bottom w:w="57" w:type="dxa"/>
            <w:right w:w="108" w:type="dxa"/>
          </w:tcMar>
          <w:vAlign w:val="bottom"/>
        </w:tcPr>
        <w:p w14:paraId="097FAB8C">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0416565B">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45DCE9E">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5DCC5CF0">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67FB9B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C320B"/>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8F587E"/>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334F9"/>
    <w:rsid w:val="00B4237E"/>
    <w:rsid w:val="00B52738"/>
    <w:rsid w:val="00B55105"/>
    <w:rsid w:val="00B56EDC"/>
    <w:rsid w:val="00B57342"/>
    <w:rsid w:val="00B6007A"/>
    <w:rsid w:val="00B7102C"/>
    <w:rsid w:val="00B801E9"/>
    <w:rsid w:val="00B97638"/>
    <w:rsid w:val="00BB0455"/>
    <w:rsid w:val="00BB1F84"/>
    <w:rsid w:val="00BE5468"/>
    <w:rsid w:val="00BF59EC"/>
    <w:rsid w:val="00C05AFD"/>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96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EF4D5B"/>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BFD1151"/>
    <w:rsid w:val="36F916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unhideWhenUsed="0" w:uiPriority="2" w:semiHidden="0" w:name="heading 8"/>
    <w:lsdException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unhideWhenUsed="0" w:uiPriority="3" w:semiHidden="0" w:name="header"/>
    <w:lsdException w:unhideWhenUsed="0" w:uiPriority="3" w:semiHidden="0" w:name="footer"/>
    <w:lsdException w:qFormat="1"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uiPriority="9" w:semiHidden="0" w:name="Hyperlink"/>
    <w:lsdException w:qFormat="1"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qFormat="1" w:uiPriority="99" w:name="HTML Acronym"/>
    <w:lsdException w:qFormat="1" w:uiPriority="99" w:name="HTML Address"/>
    <w:lsdException w:uiPriority="99" w:name="HTML Cite"/>
    <w:lsdException w:qFormat="1" w:uiPriority="99" w:name="HTML Code"/>
    <w:lsdException w:qFormat="1" w:uiPriority="99" w:name="HTML Definition"/>
    <w:lsdException w:uiPriority="99" w:name="HTML Keyboard"/>
    <w:lsdException w:uiPriority="99" w:name="HTML Preformatted"/>
    <w:lsdException w:qFormat="1" w:uiPriority="99" w:name="HTML Sample"/>
    <w:lsdException w:qFormat="1" w:uiPriority="99" w:name="HTML Typewriter"/>
    <w:lsdException w:qFormat="1"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EC859-D77E-41A8-B2FB-3B2E93F5979E}">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503</Words>
  <Characters>3283</Characters>
  <Lines>82</Lines>
  <Paragraphs>59</Paragraphs>
  <TotalTime>0</TotalTime>
  <ScaleCrop>false</ScaleCrop>
  <LinksUpToDate>false</LinksUpToDate>
  <CharactersWithSpaces>3733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2025-04-24T14:03:00Z</dcterms:created>
  <dc:description>LDIMD - DTU</dc:description>
  <dcterms:modified xsi:type="dcterms:W3CDTF">2025-08-01T16:21:21Z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BD12EF1A307C4AB48CA96B434427B718_12</vt:lpwstr>
  </property>
</Properties>
</file>