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D2F7C09" w14:textId="77777777">
      <w:pPr>
        <w:pStyle w:val="Title"/>
      </w:pPr>
      <w:r w:rsidRPr="002F663C">
        <w:t>NOTIFICATION</w:t>
      </w:r>
    </w:p>
    <w:p w:rsidR="002F663C" w:rsidRPr="002F663C" w:rsidP="00DD3DD7" w14:paraId="21B66B65" w14:textId="77777777">
      <w:pPr>
        <w:pStyle w:val="Title3"/>
      </w:pPr>
      <w:r w:rsidRPr="002F663C">
        <w:t>Addendum</w:t>
      </w:r>
    </w:p>
    <w:p w:rsidR="002F663C" w:rsidP="001E2E4A" w14:paraId="6E42BA8F"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July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10FBFAFC" w14:textId="77777777">
      <w:pPr>
        <w:rPr>
          <w:rFonts w:eastAsia="Calibri" w:cs="Times New Roman"/>
        </w:rPr>
      </w:pPr>
    </w:p>
    <w:p w:rsidR="002F663C" w:rsidRPr="002F663C" w:rsidP="002F663C" w14:paraId="2DD852EA" w14:textId="77777777">
      <w:pPr>
        <w:jc w:val="center"/>
        <w:rPr>
          <w:rFonts w:eastAsia="Calibri" w:cs="Times New Roman"/>
          <w:b/>
        </w:rPr>
      </w:pPr>
      <w:r w:rsidRPr="002F663C">
        <w:rPr>
          <w:rFonts w:eastAsia="Calibri" w:cs="Times New Roman"/>
          <w:b/>
        </w:rPr>
        <w:t>_______________</w:t>
      </w:r>
    </w:p>
    <w:p w:rsidR="002F663C" w:rsidP="002F663C" w14:paraId="5EF1ABC7" w14:textId="77777777">
      <w:pPr>
        <w:rPr>
          <w:rFonts w:eastAsia="Calibri" w:cs="Times New Roman"/>
        </w:rPr>
      </w:pPr>
    </w:p>
    <w:p w:rsidR="00C14444" w:rsidRPr="002F663C" w:rsidP="002F663C" w14:paraId="7857EA26" w14:textId="77777777">
      <w:pPr>
        <w:rPr>
          <w:rFonts w:eastAsia="Calibri" w:cs="Times New Roman"/>
        </w:rPr>
      </w:pPr>
    </w:p>
    <w:p w:rsidR="002F663C" w:rsidRPr="002F663C" w:rsidP="002F663C" w14:paraId="5FBEB37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Climate Protection Program (CPP) 2025</w:t>
      </w:r>
    </w:p>
    <w:p w:rsidR="002F663C" w:rsidRPr="002F663C" w:rsidP="002F663C" w14:paraId="31F8634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0181E3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21067736"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72CFB5C" w14:textId="77777777" w:rsidTr="00E9471B">
        <w:tblPrEx>
          <w:tblW w:w="9049" w:type="dxa"/>
          <w:tblLayout w:type="fixed"/>
          <w:tblLook w:val="04A0"/>
        </w:tblPrEx>
        <w:tc>
          <w:tcPr>
            <w:tcW w:w="851" w:type="dxa"/>
            <w:shd w:val="clear" w:color="auto" w:fill="auto"/>
          </w:tcPr>
          <w:p w:rsidR="002F663C" w:rsidRPr="00711F9C" w:rsidP="00C14444" w14:paraId="084C2EC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6DAA3E82"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A3DA61B" w14:textId="77777777" w:rsidTr="00E9471B">
        <w:tblPrEx>
          <w:tblW w:w="9049" w:type="dxa"/>
          <w:tblLayout w:type="fixed"/>
          <w:tblLook w:val="04A0"/>
        </w:tblPrEx>
        <w:tc>
          <w:tcPr>
            <w:tcW w:w="851" w:type="dxa"/>
            <w:shd w:val="clear" w:color="auto" w:fill="auto"/>
          </w:tcPr>
          <w:p w:rsidR="002F663C" w:rsidRPr="00711F9C" w:rsidP="00C14444" w14:paraId="53B3D54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50920D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5C3454B" w14:textId="77777777" w:rsidTr="00E9471B">
        <w:tblPrEx>
          <w:tblW w:w="9049" w:type="dxa"/>
          <w:tblLayout w:type="fixed"/>
          <w:tblLook w:val="04A0"/>
        </w:tblPrEx>
        <w:tc>
          <w:tcPr>
            <w:tcW w:w="851" w:type="dxa"/>
            <w:shd w:val="clear" w:color="auto" w:fill="auto"/>
          </w:tcPr>
          <w:p w:rsidR="002F663C" w:rsidRPr="00711F9C" w:rsidP="00C14444" w14:paraId="6A1A3704"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ABD932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50597079" w14:textId="77777777" w:rsidTr="00E9471B">
        <w:tblPrEx>
          <w:tblW w:w="9049" w:type="dxa"/>
          <w:tblLayout w:type="fixed"/>
          <w:tblLook w:val="04A0"/>
        </w:tblPrEx>
        <w:tc>
          <w:tcPr>
            <w:tcW w:w="851" w:type="dxa"/>
            <w:shd w:val="clear" w:color="auto" w:fill="auto"/>
          </w:tcPr>
          <w:p w:rsidR="002F663C" w:rsidRPr="00711F9C" w:rsidP="00C14444" w14:paraId="4F4606F7"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C861ED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1B23B4BA" w14:textId="77777777" w:rsidTr="00E9471B">
        <w:tblPrEx>
          <w:tblW w:w="9049" w:type="dxa"/>
          <w:tblLayout w:type="fixed"/>
          <w:tblLook w:val="04A0"/>
        </w:tblPrEx>
        <w:tc>
          <w:tcPr>
            <w:tcW w:w="851" w:type="dxa"/>
            <w:shd w:val="clear" w:color="auto" w:fill="auto"/>
          </w:tcPr>
          <w:p w:rsidR="002F663C" w:rsidRPr="00711F9C" w:rsidP="00C14444" w14:paraId="123CBA6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EC80990"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511FED5C" w14:textId="77777777" w:rsidTr="00E9471B">
        <w:tblPrEx>
          <w:tblW w:w="9049" w:type="dxa"/>
          <w:tblLayout w:type="fixed"/>
          <w:tblLook w:val="04A0"/>
        </w:tblPrEx>
        <w:tc>
          <w:tcPr>
            <w:tcW w:w="851" w:type="dxa"/>
            <w:shd w:val="clear" w:color="auto" w:fill="auto"/>
          </w:tcPr>
          <w:p w:rsidR="002F663C" w:rsidRPr="00711F9C" w:rsidP="00C14444" w14:paraId="43D90E2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78FFB13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43DC7A0"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6760914" w14:textId="77777777" w:rsidTr="00E9471B">
        <w:tblPrEx>
          <w:tblW w:w="9049" w:type="dxa"/>
          <w:tblLayout w:type="fixed"/>
          <w:tblLook w:val="04A0"/>
        </w:tblPrEx>
        <w:tc>
          <w:tcPr>
            <w:tcW w:w="851" w:type="dxa"/>
            <w:shd w:val="clear" w:color="auto" w:fill="auto"/>
          </w:tcPr>
          <w:p w:rsidR="002F663C" w:rsidRPr="00711F9C" w:rsidP="00C14444" w14:paraId="50E1D104"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21C6431"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63C683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988C202" w14:textId="77777777" w:rsidTr="00E9471B">
        <w:tblPrEx>
          <w:tblW w:w="9049" w:type="dxa"/>
          <w:tblLayout w:type="fixed"/>
          <w:tblLook w:val="04A0"/>
        </w:tblPrEx>
        <w:tc>
          <w:tcPr>
            <w:tcW w:w="851" w:type="dxa"/>
            <w:shd w:val="clear" w:color="auto" w:fill="auto"/>
          </w:tcPr>
          <w:p w:rsidR="002F663C" w:rsidRPr="00711F9C" w:rsidP="00C14444" w14:paraId="1947169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573B5069" w14:textId="77777777">
            <w:pPr>
              <w:spacing w:before="60" w:after="60"/>
              <w:rPr>
                <w:rFonts w:eastAsia="Calibri" w:cs="Times New Roman"/>
              </w:rPr>
            </w:pPr>
            <w:r>
              <w:rPr>
                <w:rFonts w:eastAsia="Calibri" w:cs="Times New Roman"/>
              </w:rPr>
              <w:t>I</w:t>
            </w:r>
            <w:r w:rsidRPr="002F663C">
              <w:rPr>
                <w:rFonts w:eastAsia="Calibri" w:cs="Times New Roman"/>
              </w:rPr>
              <w:t xml:space="preserve">nterpretive guidance issued and text </w:t>
            </w:r>
            <w:r w:rsidRPr="002F663C">
              <w:rPr>
                <w:rFonts w:eastAsia="Calibri" w:cs="Times New Roman"/>
              </w:rPr>
              <w:t>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D706E4F"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2E8795DA"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228C9ED8"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07B6855C" w14:textId="77777777">
            <w:pPr>
              <w:spacing w:before="120" w:after="120"/>
              <w:rPr>
                <w:rFonts w:eastAsia="Calibri" w:cs="Times New Roman"/>
              </w:rPr>
            </w:pPr>
            <w:r>
              <w:rPr>
                <w:rFonts w:eastAsia="Calibri" w:cs="Times New Roman"/>
              </w:rPr>
              <w:t>Oregon Department of Environmental Quality (DEQ) Climate Protection Program Information Update</w:t>
            </w:r>
          </w:p>
          <w:p w:rsidR="00467A46" w:rsidP="00EB7B40" w14:paraId="0026D971" w14:textId="77777777">
            <w:pPr>
              <w:spacing w:before="120" w:after="120"/>
              <w:rPr>
                <w:rFonts w:eastAsia="Calibri" w:cs="Times New Roman"/>
              </w:rPr>
            </w:pPr>
            <w:hyperlink r:id="rId6" w:tgtFrame="_blank" w:history="1">
              <w:r>
                <w:rPr>
                  <w:rFonts w:eastAsia="Calibri" w:cs="Times New Roman"/>
                  <w:color w:val="0000FF"/>
                  <w:u w:val="single"/>
                </w:rPr>
                <w:t>https://www.oregon.gov/deq/ghgp/cpp/Pages/default.aspx</w:t>
              </w:r>
            </w:hyperlink>
          </w:p>
        </w:tc>
      </w:tr>
      <w:bookmarkEnd w:id="0"/>
    </w:tbl>
    <w:p w:rsidR="002F663C" w:rsidRPr="002F663C" w:rsidP="002F663C" w14:paraId="0D44B7A0" w14:textId="77777777">
      <w:pPr>
        <w:jc w:val="left"/>
        <w:rPr>
          <w:rFonts w:eastAsia="Calibri" w:cs="Times New Roman"/>
          <w:highlight w:val="yellow"/>
        </w:rPr>
      </w:pPr>
    </w:p>
    <w:p w:rsidR="003971FF" w:rsidRPr="007F6EA2" w:rsidP="00B16ACF" w14:paraId="20453EC8"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On 25 July 2025, the Oregon Department of Environmental Quality (DEQ) distributed 27,460,607 compliance instruments to over 30 covered fuel suppliers regulated by the Climate Protection Program. Covered fuel suppliers include natural gas utilities and suppliers of gasoline, diesel, kerosene, and propane with greenhouse gas emissions that meet or exceed a threshold for inclusion. </w:t>
      </w:r>
    </w:p>
    <w:p w:rsidR="004A2474" w:rsidRPr="002F663C" w:rsidP="00B16ACF" w14:paraId="1B864757" w14:textId="77777777">
      <w:pPr>
        <w:spacing w:before="120" w:after="120"/>
        <w:rPr>
          <w:rFonts w:eastAsia="Calibri" w:cs="Times New Roman"/>
          <w:szCs w:val="18"/>
        </w:rPr>
      </w:pPr>
      <w:r w:rsidRPr="002F663C">
        <w:rPr>
          <w:rFonts w:eastAsia="Calibri" w:cs="Times New Roman"/>
          <w:szCs w:val="18"/>
        </w:rPr>
        <w:t>The 2025 distribution includes an annual distribution of compliance instruments, 23,357,144, and a one-time only distribution of additional compliance instruments, 4,103,463.</w:t>
      </w:r>
    </w:p>
    <w:p w:rsidR="004A2474" w:rsidRPr="002F663C" w:rsidP="00B16ACF" w14:paraId="096B8F6E" w14:textId="77777777">
      <w:pPr>
        <w:spacing w:before="120" w:after="120"/>
        <w:rPr>
          <w:rFonts w:eastAsia="Calibri" w:cs="Times New Roman"/>
          <w:szCs w:val="18"/>
        </w:rPr>
      </w:pPr>
      <w:r w:rsidRPr="002F663C">
        <w:rPr>
          <w:rFonts w:eastAsia="Calibri" w:cs="Times New Roman"/>
          <w:b/>
          <w:bCs/>
          <w:szCs w:val="18"/>
        </w:rPr>
        <w:t>Climate Protection Program</w:t>
      </w:r>
    </w:p>
    <w:p w:rsidR="004A2474" w:rsidRPr="002F663C" w:rsidP="00B16ACF" w14:paraId="7E6A12A0" w14:textId="77777777">
      <w:pPr>
        <w:spacing w:before="120" w:after="120"/>
        <w:rPr>
          <w:rFonts w:eastAsia="Calibri" w:cs="Times New Roman"/>
          <w:szCs w:val="18"/>
        </w:rPr>
      </w:pPr>
      <w:r w:rsidRPr="002F663C">
        <w:rPr>
          <w:rFonts w:eastAsia="Calibri" w:cs="Times New Roman"/>
          <w:szCs w:val="18"/>
        </w:rPr>
        <w:t xml:space="preserve">The Climate Protection Program is critical to meeting Oregon's climate pollution reduction goals. The program sets a declining limit, or cap on greenhouse gas emissions from fossil fuels used throughout </w:t>
      </w:r>
      <w:r w:rsidRPr="002F663C">
        <w:rPr>
          <w:rFonts w:eastAsia="Calibri" w:cs="Times New Roman"/>
          <w:szCs w:val="18"/>
        </w:rPr>
        <w:t>Oregon, including diesel, gasoline, and natural gas. The program is designed to reduce these emissions by 50% by 2035 and 90% by 2050.</w:t>
      </w:r>
    </w:p>
    <w:p w:rsidR="004A2474" w:rsidRPr="002F663C" w:rsidP="00B16ACF" w14:paraId="46596FA6" w14:textId="77777777">
      <w:pPr>
        <w:spacing w:before="120" w:after="120"/>
        <w:rPr>
          <w:rFonts w:eastAsia="Calibri" w:cs="Times New Roman"/>
          <w:szCs w:val="18"/>
        </w:rPr>
      </w:pPr>
      <w:r w:rsidRPr="002F663C">
        <w:rPr>
          <w:rFonts w:eastAsia="Calibri" w:cs="Times New Roman"/>
          <w:szCs w:val="18"/>
        </w:rPr>
        <w:t>Each year, DEQ distributes compliance instruments to regulated companies. The total number of compliance instruments available for distribution each year is equal to that year's emissions cap. As the cap declines, so does the number of compliance instruments distributed by DEQ. For 2025 only, DEQ has also distributed additional compliance instruments to recognize early emission reductions achieved by fuel suppliers prior to 2025.</w:t>
      </w:r>
    </w:p>
    <w:p w:rsidR="004A2474" w:rsidRPr="002F663C" w:rsidP="00B16ACF" w14:paraId="701CFFF4" w14:textId="77777777">
      <w:pPr>
        <w:spacing w:before="120" w:after="120"/>
        <w:rPr>
          <w:rFonts w:eastAsia="Calibri" w:cs="Times New Roman"/>
          <w:szCs w:val="18"/>
        </w:rPr>
      </w:pPr>
      <w:r w:rsidRPr="002F663C">
        <w:rPr>
          <w:rFonts w:eastAsia="Calibri" w:cs="Times New Roman"/>
          <w:b/>
          <w:bCs/>
          <w:szCs w:val="18"/>
        </w:rPr>
        <w:t>Additional materials</w:t>
      </w:r>
    </w:p>
    <w:p w:rsidR="004A2474" w:rsidRPr="002F663C" w:rsidP="00B16ACF" w14:paraId="23942CE0" w14:textId="77777777">
      <w:pPr>
        <w:spacing w:before="120" w:after="120"/>
        <w:rPr>
          <w:rFonts w:eastAsia="Calibri" w:cs="Times New Roman"/>
          <w:szCs w:val="18"/>
        </w:rPr>
      </w:pPr>
      <w:r w:rsidRPr="002F663C">
        <w:rPr>
          <w:rFonts w:eastAsia="Calibri" w:cs="Times New Roman"/>
          <w:szCs w:val="18"/>
        </w:rPr>
        <w:t xml:space="preserve">For more information on the number of 2025 compliance instruments distributed to covered fuel suppliers and the methodology used for compliance instrument distribution, see materials on the Climate Protection Program </w:t>
      </w:r>
      <w:hyperlink r:id="rId7" w:history="1">
        <w:r w:rsidRPr="002F663C">
          <w:rPr>
            <w:rFonts w:eastAsia="Calibri" w:cs="Times New Roman"/>
            <w:color w:val="0000FF"/>
            <w:szCs w:val="18"/>
            <w:u w:val="single"/>
          </w:rPr>
          <w:t>website</w:t>
        </w:r>
      </w:hyperlink>
      <w:r w:rsidRPr="002F663C">
        <w:rPr>
          <w:rFonts w:eastAsia="Calibri" w:cs="Times New Roman"/>
          <w:szCs w:val="18"/>
        </w:rPr>
        <w:t xml:space="preserve"> including:</w:t>
      </w:r>
    </w:p>
    <w:p w:rsidR="004A2474" w:rsidRPr="002F663C" w:rsidP="00B16ACF" w14:paraId="068A6352" w14:textId="77777777">
      <w:pPr>
        <w:numPr>
          <w:ilvl w:val="0"/>
          <w:numId w:val="17"/>
        </w:numPr>
        <w:spacing w:before="120" w:after="120"/>
        <w:rPr>
          <w:rFonts w:eastAsia="Calibri" w:cs="Times New Roman"/>
          <w:szCs w:val="18"/>
        </w:rPr>
      </w:pPr>
      <w:hyperlink r:id="rId8" w:history="1">
        <w:r w:rsidRPr="002F663C">
          <w:rPr>
            <w:rFonts w:eastAsia="Calibri" w:cs="Times New Roman"/>
            <w:color w:val="0000FF"/>
            <w:szCs w:val="18"/>
            <w:u w:val="single"/>
          </w:rPr>
          <w:t xml:space="preserve">Fuel Supplier Training Slides </w:t>
        </w:r>
      </w:hyperlink>
    </w:p>
    <w:p w:rsidR="004A2474" w:rsidRPr="002F663C" w:rsidP="00B16ACF" w14:paraId="06110162" w14:textId="77777777">
      <w:pPr>
        <w:numPr>
          <w:ilvl w:val="0"/>
          <w:numId w:val="17"/>
        </w:numPr>
        <w:spacing w:before="120" w:after="120"/>
        <w:rPr>
          <w:rFonts w:eastAsia="Calibri" w:cs="Times New Roman"/>
          <w:szCs w:val="18"/>
        </w:rPr>
      </w:pPr>
      <w:hyperlink r:id="rId9" w:history="1">
        <w:r w:rsidRPr="002F663C">
          <w:rPr>
            <w:rFonts w:eastAsia="Calibri" w:cs="Times New Roman"/>
            <w:color w:val="0000FF"/>
            <w:szCs w:val="18"/>
            <w:u w:val="single"/>
          </w:rPr>
          <w:t>Covered Fuels Suppliers List</w:t>
        </w:r>
      </w:hyperlink>
    </w:p>
    <w:p w:rsidR="004A2474" w:rsidRPr="002F663C" w:rsidP="00B16ACF" w14:paraId="556EAFBE" w14:textId="77777777">
      <w:pPr>
        <w:numPr>
          <w:ilvl w:val="0"/>
          <w:numId w:val="17"/>
        </w:numPr>
        <w:spacing w:before="120" w:after="120"/>
        <w:rPr>
          <w:rFonts w:eastAsia="Calibri" w:cs="Times New Roman"/>
          <w:szCs w:val="18"/>
        </w:rPr>
      </w:pPr>
      <w:hyperlink r:id="rId10" w:history="1">
        <w:r w:rsidRPr="002F663C">
          <w:rPr>
            <w:rFonts w:eastAsia="Calibri" w:cs="Times New Roman"/>
            <w:color w:val="0000FF"/>
            <w:szCs w:val="18"/>
            <w:u w:val="single"/>
          </w:rPr>
          <w:t>Community Climate Investment Contribution Amount</w:t>
        </w:r>
      </w:hyperlink>
    </w:p>
    <w:p w:rsidR="004A2474" w:rsidRPr="002F663C" w:rsidP="00B16ACF" w14:paraId="1258ED22" w14:textId="77777777">
      <w:pPr>
        <w:numPr>
          <w:ilvl w:val="0"/>
          <w:numId w:val="17"/>
        </w:numPr>
        <w:spacing w:before="120" w:after="120"/>
        <w:rPr>
          <w:rFonts w:eastAsia="Calibri" w:cs="Times New Roman"/>
          <w:szCs w:val="18"/>
        </w:rPr>
      </w:pPr>
      <w:hyperlink r:id="rId11" w:history="1">
        <w:r w:rsidRPr="002F663C">
          <w:rPr>
            <w:rFonts w:eastAsia="Calibri" w:cs="Times New Roman"/>
            <w:color w:val="0000FF"/>
            <w:szCs w:val="18"/>
            <w:u w:val="single"/>
          </w:rPr>
          <w:t>Covered Entities FAQs</w:t>
        </w:r>
      </w:hyperlink>
    </w:p>
    <w:p w:rsidR="004A2474" w:rsidRPr="002F663C" w:rsidP="00B16ACF" w14:paraId="788DF469" w14:textId="77777777">
      <w:pPr>
        <w:numPr>
          <w:ilvl w:val="0"/>
          <w:numId w:val="17"/>
        </w:numPr>
        <w:spacing w:before="120" w:after="120"/>
        <w:rPr>
          <w:rFonts w:eastAsia="Calibri" w:cs="Times New Roman"/>
          <w:szCs w:val="18"/>
        </w:rPr>
      </w:pPr>
      <w:hyperlink r:id="rId12" w:history="1">
        <w:r w:rsidRPr="002F663C">
          <w:rPr>
            <w:rFonts w:eastAsia="Calibri" w:cs="Times New Roman"/>
            <w:color w:val="0000FF"/>
            <w:szCs w:val="18"/>
            <w:u w:val="single"/>
          </w:rPr>
          <w:t>2025 Compliance Instrument Distribution</w:t>
        </w:r>
      </w:hyperlink>
    </w:p>
    <w:p w:rsidR="004A2474" w:rsidRPr="002F663C" w:rsidP="00B16ACF" w14:paraId="78E64FC9" w14:textId="77777777">
      <w:pPr>
        <w:spacing w:before="120" w:after="120"/>
        <w:rPr>
          <w:rFonts w:eastAsia="Calibri" w:cs="Times New Roman"/>
          <w:szCs w:val="18"/>
        </w:rPr>
      </w:pPr>
      <w:r w:rsidRPr="002F663C">
        <w:rPr>
          <w:rFonts w:eastAsia="Calibri" w:cs="Times New Roman"/>
          <w:szCs w:val="18"/>
        </w:rPr>
        <w:t xml:space="preserve">Please visit the </w:t>
      </w:r>
      <w:hyperlink r:id="rId6" w:history="1">
        <w:r w:rsidRPr="002F663C">
          <w:rPr>
            <w:rFonts w:eastAsia="Calibri" w:cs="Times New Roman"/>
            <w:color w:val="0000FF"/>
            <w:szCs w:val="18"/>
            <w:u w:val="single"/>
          </w:rPr>
          <w:t>Climate Protection Program website</w:t>
        </w:r>
      </w:hyperlink>
      <w:r w:rsidRPr="002F663C">
        <w:rPr>
          <w:rFonts w:eastAsia="Calibri" w:cs="Times New Roman"/>
          <w:szCs w:val="18"/>
        </w:rPr>
        <w:t xml:space="preserve">, sign up to receive updates </w:t>
      </w:r>
      <w:hyperlink r:id="rId13" w:history="1">
        <w:r w:rsidRPr="002F663C">
          <w:rPr>
            <w:rFonts w:eastAsia="Calibri" w:cs="Times New Roman"/>
            <w:color w:val="0000FF"/>
            <w:szCs w:val="18"/>
            <w:u w:val="single"/>
          </w:rPr>
          <w:t>here</w:t>
        </w:r>
      </w:hyperlink>
      <w:r w:rsidRPr="002F663C">
        <w:rPr>
          <w:rFonts w:eastAsia="Calibri" w:cs="Times New Roman"/>
          <w:szCs w:val="18"/>
        </w:rPr>
        <w:t xml:space="preserve">, or contact the program at </w:t>
      </w:r>
      <w:hyperlink r:id="rId14" w:history="1">
        <w:r w:rsidRPr="002F663C">
          <w:rPr>
            <w:rFonts w:eastAsia="Calibri" w:cs="Times New Roman"/>
            <w:color w:val="0000FF"/>
            <w:szCs w:val="18"/>
            <w:u w:val="single"/>
          </w:rPr>
          <w:t>CPP.INFO@deq.oregon.gov</w:t>
        </w:r>
      </w:hyperlink>
      <w:r w:rsidRPr="002F663C">
        <w:rPr>
          <w:rFonts w:eastAsia="Calibri" w:cs="Times New Roman"/>
          <w:szCs w:val="18"/>
        </w:rPr>
        <w:t xml:space="preserve"> for more information.</w:t>
      </w:r>
    </w:p>
    <w:p w:rsidR="006C5A96" w:rsidP="006C5A96" w14:paraId="368FC4BC" w14:textId="77777777">
      <w:pPr>
        <w:jc w:val="center"/>
        <w:rPr>
          <w:b/>
        </w:rPr>
      </w:pPr>
      <w:r w:rsidRPr="003971FF">
        <w:rPr>
          <w:b/>
        </w:rPr>
        <w:t>__________</w:t>
      </w:r>
    </w:p>
    <w:p w:rsidR="004D4D19" w:rsidP="007F38C2" w14:paraId="447B3DBC" w14:textId="77777777">
      <w:pPr>
        <w:jc w:val="center"/>
        <w:rPr>
          <w:b/>
        </w:rPr>
      </w:pPr>
    </w:p>
    <w:p w:rsidR="00A1565D" w:rsidP="003971FF" w14:paraId="46FC1C2E" w14:textId="77777777">
      <w:pPr>
        <w:jc w:val="center"/>
        <w:rPr>
          <w:b/>
        </w:rPr>
      </w:pPr>
    </w:p>
    <w:sectPr w:rsidSect="006C5A96">
      <w:headerReference w:type="even" r:id="rId15"/>
      <w:headerReference w:type="default" r:id="rId16"/>
      <w:footerReference w:type="even" r:id="rId17"/>
      <w:footerReference w:type="default" r:id="rId18"/>
      <w:headerReference w:type="first" r:id="rId19"/>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872CCFA"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D41A79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F28C005" w14:textId="77777777">
      <w:r>
        <w:separator/>
      </w:r>
    </w:p>
  </w:footnote>
  <w:footnote w:type="continuationSeparator" w:id="1">
    <w:p w:rsidR="004D3A6A" w:rsidP="00ED54E0" w14:paraId="3C1906EB" w14:textId="77777777">
      <w:r>
        <w:continuationSeparator/>
      </w:r>
    </w:p>
  </w:footnote>
  <w:footnote w:id="2">
    <w:p w:rsidR="007F6EA2" w14:paraId="588F2044"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FA66887"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E04CF53" w14:textId="77777777">
    <w:pPr>
      <w:pStyle w:val="Header"/>
      <w:pBdr>
        <w:bottom w:val="single" w:sz="4" w:space="1" w:color="auto"/>
      </w:pBdr>
      <w:tabs>
        <w:tab w:val="clear" w:pos="4513"/>
        <w:tab w:val="clear" w:pos="9027"/>
      </w:tabs>
      <w:jc w:val="center"/>
    </w:pPr>
  </w:p>
  <w:p w:rsidR="00DD3DD7" w:rsidRPr="00DD3DD7" w:rsidP="00DD3DD7" w14:paraId="3992532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D8DF61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4B34B6B" w14:textId="77777777">
    <w:pPr>
      <w:pStyle w:val="Header"/>
      <w:pBdr>
        <w:bottom w:val="single" w:sz="4" w:space="1" w:color="auto"/>
      </w:pBdr>
      <w:tabs>
        <w:tab w:val="clear" w:pos="4513"/>
        <w:tab w:val="clear" w:pos="9027"/>
      </w:tabs>
      <w:jc w:val="center"/>
    </w:pPr>
    <w:bookmarkStart w:id="3" w:name="spsSymbolHeader"/>
    <w:r w:rsidRPr="00DD3DD7">
      <w:t>G/TBT/N/USA/2046/Rev.1/Add.8</w:t>
    </w:r>
    <w:bookmarkEnd w:id="3"/>
  </w:p>
  <w:p w:rsidR="00DD3DD7" w:rsidRPr="00DD3DD7" w:rsidP="00DD3DD7" w14:paraId="0D611C2B" w14:textId="77777777">
    <w:pPr>
      <w:pStyle w:val="Header"/>
      <w:pBdr>
        <w:bottom w:val="single" w:sz="4" w:space="1" w:color="auto"/>
      </w:pBdr>
      <w:tabs>
        <w:tab w:val="clear" w:pos="4513"/>
        <w:tab w:val="clear" w:pos="9027"/>
      </w:tabs>
      <w:jc w:val="center"/>
    </w:pPr>
  </w:p>
  <w:p w:rsidR="00DD3DD7" w:rsidRPr="00DD3DD7" w:rsidP="00DD3DD7" w14:paraId="61825E5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16AC6D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5B2260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3FE1ADA"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658BF5D" w14:textId="77777777">
          <w:pPr>
            <w:jc w:val="right"/>
            <w:rPr>
              <w:b/>
              <w:color w:val="FF0000"/>
              <w:szCs w:val="16"/>
            </w:rPr>
          </w:pPr>
          <w:r>
            <w:rPr>
              <w:b/>
              <w:color w:val="FF0000"/>
              <w:szCs w:val="16"/>
            </w:rPr>
            <w:t xml:space="preserve"> </w:t>
          </w:r>
        </w:p>
      </w:tc>
    </w:tr>
    <w:tr w14:paraId="5B2988E1"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E69D32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CD7501F" w14:textId="77777777">
          <w:pPr>
            <w:jc w:val="right"/>
            <w:rPr>
              <w:b/>
              <w:szCs w:val="16"/>
            </w:rPr>
          </w:pPr>
        </w:p>
      </w:tc>
    </w:tr>
    <w:tr w14:paraId="7FEFC54B"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37514D9"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DADC55E" w14:textId="77777777">
          <w:pPr>
            <w:jc w:val="right"/>
            <w:rPr>
              <w:rFonts w:eastAsia="Calibri" w:cs="Times New Roman"/>
              <w:b/>
              <w:szCs w:val="16"/>
            </w:rPr>
          </w:pPr>
          <w:bookmarkStart w:id="4" w:name="bmkSymbols"/>
          <w:r w:rsidRPr="002F663C">
            <w:rPr>
              <w:rFonts w:eastAsia="Calibri" w:cs="Times New Roman"/>
              <w:b/>
              <w:szCs w:val="16"/>
            </w:rPr>
            <w:t>G/TBT/N/USA/2046/Rev.1/Add.8</w:t>
          </w:r>
          <w:bookmarkEnd w:id="4"/>
        </w:p>
        <w:p w:rsidR="00C14444" w:rsidRPr="00C14444" w:rsidP="00C14444" w14:paraId="2E795648" w14:textId="77777777">
          <w:pPr>
            <w:jc w:val="center"/>
            <w:rPr>
              <w:szCs w:val="16"/>
            </w:rPr>
          </w:pPr>
        </w:p>
      </w:tc>
    </w:tr>
    <w:tr w14:paraId="086FBFC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C70D6D8" w14:textId="77777777"/>
      </w:tc>
      <w:tc>
        <w:tcPr>
          <w:tcW w:w="5448" w:type="dxa"/>
          <w:gridSpan w:val="2"/>
          <w:shd w:val="clear" w:color="auto" w:fill="FFFFFF"/>
          <w:tcMar>
            <w:left w:w="108" w:type="dxa"/>
            <w:right w:w="108" w:type="dxa"/>
          </w:tcMar>
          <w:vAlign w:val="center"/>
        </w:tcPr>
        <w:p w:rsidR="00ED54E0" w:rsidRPr="00182B84" w:rsidP="00425DC5" w14:paraId="7FEED509" w14:textId="77777777">
          <w:pPr>
            <w:jc w:val="right"/>
            <w:rPr>
              <w:szCs w:val="16"/>
            </w:rPr>
          </w:pPr>
          <w:bookmarkStart w:id="5" w:name="bmkDate"/>
          <w:r w:rsidRPr="00182B84">
            <w:rPr>
              <w:szCs w:val="16"/>
            </w:rPr>
            <w:t>30 July 2025</w:t>
          </w:r>
          <w:bookmarkEnd w:id="5"/>
        </w:p>
      </w:tc>
    </w:tr>
    <w:tr w14:paraId="6E7C7A23"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21D9C99" w14:textId="77777777">
          <w:pPr>
            <w:jc w:val="left"/>
            <w:rPr>
              <w:b/>
            </w:rPr>
          </w:pPr>
          <w:bookmarkStart w:id="6" w:name="bmkSerial"/>
          <w:r>
            <w:rPr>
              <w:b w:val="0"/>
              <w:color w:val="FF0000"/>
            </w:rPr>
            <w:t>(25-4938)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50D68D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6A95ED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8669617"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298B01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AA8462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51743598">
    <w:abstractNumId w:val="9"/>
  </w:num>
  <w:num w:numId="2" w16cid:durableId="563758718">
    <w:abstractNumId w:val="7"/>
  </w:num>
  <w:num w:numId="3" w16cid:durableId="608321380">
    <w:abstractNumId w:val="6"/>
  </w:num>
  <w:num w:numId="4" w16cid:durableId="804273342">
    <w:abstractNumId w:val="5"/>
  </w:num>
  <w:num w:numId="5" w16cid:durableId="1950237883">
    <w:abstractNumId w:val="4"/>
  </w:num>
  <w:num w:numId="6" w16cid:durableId="186725036">
    <w:abstractNumId w:val="12"/>
  </w:num>
  <w:num w:numId="7" w16cid:durableId="1682851475">
    <w:abstractNumId w:val="11"/>
  </w:num>
  <w:num w:numId="8" w16cid:durableId="1054280471">
    <w:abstractNumId w:val="10"/>
  </w:num>
  <w:num w:numId="9" w16cid:durableId="10866825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0253017">
    <w:abstractNumId w:val="13"/>
  </w:num>
  <w:num w:numId="11" w16cid:durableId="38405827">
    <w:abstractNumId w:val="8"/>
  </w:num>
  <w:num w:numId="12" w16cid:durableId="683096508">
    <w:abstractNumId w:val="3"/>
  </w:num>
  <w:num w:numId="13" w16cid:durableId="2124499317">
    <w:abstractNumId w:val="2"/>
  </w:num>
  <w:num w:numId="14" w16cid:durableId="1394891898">
    <w:abstractNumId w:val="1"/>
  </w:num>
  <w:num w:numId="15" w16cid:durableId="234436484">
    <w:abstractNumId w:val="0"/>
  </w:num>
  <w:num w:numId="16" w16cid:durableId="62419160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 w:numId="17" w16cid:durableId="47890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A2474"/>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240E"/>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24CA0"/>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71EB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oregon.gov/deq/ghgp/Documents/CCIContributionAmounts.pdf" TargetMode="External" /><Relationship Id="rId11" Type="http://schemas.openxmlformats.org/officeDocument/2006/relationships/hyperlink" Target="https://www.oregon.gov/deq/ghgp/Documents/CPPCoveredEntityFAQ.pdf" TargetMode="External" /><Relationship Id="rId12" Type="http://schemas.openxmlformats.org/officeDocument/2006/relationships/hyperlink" Target="https://www.oregon.gov/deq/ghgp/Documents/OrderCPP2025.pdf" TargetMode="External" /><Relationship Id="rId13" Type="http://schemas.openxmlformats.org/officeDocument/2006/relationships/hyperlink" Target="https://public.govdelivery.com/accounts/ORDEQ/subscriber/new?topic_id=ORDEQ_655" TargetMode="External" /><Relationship Id="rId14" Type="http://schemas.openxmlformats.org/officeDocument/2006/relationships/hyperlink" Target="mailto:CPP.INFO@deq.oregon.gov"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oregon.gov/deq/ghgp/cpp/Pages/default.aspx" TargetMode="External" /><Relationship Id="rId7" Type="http://schemas.openxmlformats.org/officeDocument/2006/relationships/hyperlink" Target="https://www.oregon.gov/deq/ghgp/cpp/Pages/CPP-Resources.aspx" TargetMode="External" /><Relationship Id="rId8" Type="http://schemas.openxmlformats.org/officeDocument/2006/relationships/hyperlink" Target="https://www.oregon.gov/deq/ghgp/Documents/CPPFuelSupplierTraining.pdf" TargetMode="External" /><Relationship Id="rId9" Type="http://schemas.openxmlformats.org/officeDocument/2006/relationships/hyperlink" Target="https://www.oregon.gov/deq/ghgp/Documents/CPP-CFSList.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2025-07-30T13:44:00Z</dcterms:created>
  <dcterms:modified xsi:type="dcterms:W3CDTF">2025-07-30T13:44:00Z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