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C8F32C">
      <w:pPr>
        <w:pStyle w:val="84"/>
        <w:rPr>
          <w:caps w:val="0"/>
          <w:kern w:val="0"/>
        </w:rPr>
      </w:pPr>
      <w:r>
        <w:rPr>
          <w:caps w:val="0"/>
          <w:kern w:val="0"/>
        </w:rPr>
        <w:t>NOTIFICATION</w:t>
      </w:r>
    </w:p>
    <w:p w14:paraId="2125EC9A">
      <w:pPr>
        <w:pStyle w:val="274"/>
      </w:pPr>
      <w:r>
        <w:t>Revision</w:t>
      </w:r>
    </w:p>
    <w:p w14:paraId="46F28F1C">
      <w:pPr>
        <w:jc w:val="center"/>
      </w:pPr>
      <w:r>
        <w:t>The following notification is being circulated in accordance with Article 10.6.</w:t>
      </w:r>
    </w:p>
    <w:p w14:paraId="626903BB"/>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08" w:type="dxa"/>
          <w:bottom w:w="0" w:type="dxa"/>
          <w:right w:w="108" w:type="dxa"/>
        </w:tblCellMar>
      </w:tblPr>
      <w:tblGrid>
        <w:gridCol w:w="710"/>
        <w:gridCol w:w="8532"/>
      </w:tblGrid>
      <w:tr w14:paraId="021BB56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384" w:type="pct"/>
            <w:tcBorders>
              <w:bottom w:val="single" w:color="auto" w:sz="6" w:space="0"/>
            </w:tcBorders>
            <w:shd w:val="clear" w:color="auto" w:fill="auto"/>
          </w:tcPr>
          <w:p w14:paraId="71C0FF9D">
            <w:pPr>
              <w:spacing w:before="120" w:after="120"/>
              <w:jc w:val="center"/>
            </w:pPr>
            <w:r>
              <w:rPr>
                <w:b/>
              </w:rPr>
              <w:t>1.</w:t>
            </w:r>
          </w:p>
        </w:tc>
        <w:tc>
          <w:tcPr>
            <w:tcW w:w="4616" w:type="pct"/>
            <w:tcBorders>
              <w:bottom w:val="single" w:color="auto" w:sz="6" w:space="0"/>
            </w:tcBorders>
            <w:shd w:val="clear" w:color="auto" w:fill="auto"/>
          </w:tcPr>
          <w:p w14:paraId="141B0C58">
            <w:pPr>
              <w:spacing w:before="120" w:after="120"/>
            </w:pPr>
            <w:r>
              <w:rPr>
                <w:b/>
              </w:rPr>
              <w:t>Notifying Member:</w:t>
            </w:r>
            <w:r>
              <w:rPr>
                <w:bCs/>
              </w:rPr>
              <w:t xml:space="preserve"> </w:t>
            </w:r>
            <w:r>
              <w:rPr>
                <w:bCs/>
                <w:u w:val="single"/>
              </w:rPr>
              <w:t>TÜRKIYE</w:t>
            </w:r>
          </w:p>
          <w:p w14:paraId="6CB54B6E">
            <w:pPr>
              <w:spacing w:after="120"/>
            </w:pPr>
            <w:r>
              <w:rPr>
                <w:b/>
              </w:rPr>
              <w:t>If applicable, name of local government involved (Articles 3.2 and 7.2):</w:t>
            </w:r>
            <w:r>
              <w:t xml:space="preserve"> </w:t>
            </w:r>
          </w:p>
        </w:tc>
      </w:tr>
      <w:tr w14:paraId="549DC7A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7C0AB609">
            <w:pPr>
              <w:spacing w:before="120" w:after="120"/>
              <w:jc w:val="center"/>
            </w:pPr>
            <w:r>
              <w:rPr>
                <w:b/>
              </w:rPr>
              <w:t>2.</w:t>
            </w:r>
          </w:p>
        </w:tc>
        <w:tc>
          <w:tcPr>
            <w:tcW w:w="4616" w:type="pct"/>
            <w:tcBorders>
              <w:top w:val="single" w:color="auto" w:sz="6" w:space="0"/>
              <w:bottom w:val="single" w:color="auto" w:sz="6" w:space="0"/>
            </w:tcBorders>
            <w:shd w:val="clear" w:color="auto" w:fill="auto"/>
          </w:tcPr>
          <w:p w14:paraId="41F66903">
            <w:pPr>
              <w:spacing w:before="120" w:after="120"/>
            </w:pPr>
            <w:r>
              <w:rPr>
                <w:b/>
              </w:rPr>
              <w:t>Agency responsible:</w:t>
            </w:r>
            <w:r>
              <w:t xml:space="preserve"> </w:t>
            </w:r>
          </w:p>
          <w:p w14:paraId="3F769343">
            <w:pPr>
              <w:spacing w:after="120"/>
            </w:pPr>
            <w:r>
              <w:t>Ministry of Agriculture and Forestry / General Directorate of Food and Control</w:t>
            </w:r>
          </w:p>
          <w:p w14:paraId="77333325">
            <w:pPr>
              <w:spacing w:after="120"/>
            </w:pPr>
            <w:r>
              <w:rPr>
                <w:b/>
              </w:rPr>
              <w:t>Name and address (including telephone and fax numbers, email and website addresses, if available) of</w:t>
            </w:r>
            <w:r>
              <w:t xml:space="preserve"> </w:t>
            </w:r>
            <w:r>
              <w:rPr>
                <w:b/>
              </w:rPr>
              <w:t>agency or authority designated to handle comments regarding the notification shall be indicated if different from above:</w:t>
            </w:r>
            <w:r>
              <w:rPr>
                <w:bCs/>
              </w:rPr>
              <w:t xml:space="preserve"> </w:t>
            </w:r>
          </w:p>
          <w:p w14:paraId="51B2D4E2">
            <w:pPr>
              <w:spacing w:after="120"/>
              <w:rPr>
                <w:bCs/>
              </w:rPr>
            </w:pPr>
          </w:p>
        </w:tc>
      </w:tr>
      <w:tr w14:paraId="6E3A0EF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44004A0C">
            <w:pPr>
              <w:spacing w:before="120" w:after="120"/>
              <w:jc w:val="center"/>
              <w:rPr>
                <w:b/>
              </w:rPr>
            </w:pPr>
            <w:r>
              <w:rPr>
                <w:b/>
              </w:rPr>
              <w:t>3.</w:t>
            </w:r>
          </w:p>
        </w:tc>
        <w:tc>
          <w:tcPr>
            <w:tcW w:w="4616" w:type="pct"/>
            <w:tcBorders>
              <w:top w:val="single" w:color="auto" w:sz="6" w:space="0"/>
              <w:bottom w:val="single" w:color="auto" w:sz="6" w:space="0"/>
            </w:tcBorders>
            <w:shd w:val="clear" w:color="auto" w:fill="auto"/>
          </w:tcPr>
          <w:p w14:paraId="5A25910A">
            <w:pPr>
              <w:spacing w:before="120" w:after="120"/>
              <w:rPr>
                <w:b/>
              </w:rPr>
            </w:pPr>
            <w:r>
              <w:rPr>
                <w:b/>
              </w:rPr>
              <w:t>Notified under Article 2.9.2 [X], 2.10.1 [ ], 5.6.2 [ ], 5.7.1 [ ], 3.2 [ ], 7.2 [ ], other:</w:t>
            </w:r>
            <w:r>
              <w:t xml:space="preserve"> </w:t>
            </w:r>
          </w:p>
        </w:tc>
      </w:tr>
      <w:tr w14:paraId="48CB2AB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445BF304">
            <w:pPr>
              <w:spacing w:before="120" w:after="120"/>
              <w:jc w:val="center"/>
            </w:pPr>
            <w:r>
              <w:rPr>
                <w:b/>
              </w:rPr>
              <w:t>4.</w:t>
            </w:r>
          </w:p>
        </w:tc>
        <w:tc>
          <w:tcPr>
            <w:tcW w:w="4616" w:type="pct"/>
            <w:tcBorders>
              <w:top w:val="single" w:color="auto" w:sz="6" w:space="0"/>
              <w:bottom w:val="single" w:color="auto" w:sz="6" w:space="0"/>
            </w:tcBorders>
            <w:shd w:val="clear" w:color="auto" w:fill="auto"/>
          </w:tcPr>
          <w:p w14:paraId="1686B49A">
            <w:pPr>
              <w:spacing w:before="120" w:after="120"/>
            </w:pPr>
            <w:r>
              <w:rPr>
                <w:b/>
              </w:rPr>
              <w:t>Products covered (HS or CCCN where applicable, otherwise national tariff heading. ICS numbers may be provided in addition, where applicable):</w:t>
            </w:r>
            <w:r>
              <w:t xml:space="preserve"> Spirit drinks</w:t>
            </w:r>
          </w:p>
        </w:tc>
      </w:tr>
      <w:tr w14:paraId="3866A2E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3533C112">
            <w:pPr>
              <w:spacing w:before="120" w:after="120"/>
              <w:jc w:val="center"/>
            </w:pPr>
            <w:r>
              <w:rPr>
                <w:b/>
              </w:rPr>
              <w:t>5.</w:t>
            </w:r>
          </w:p>
        </w:tc>
        <w:tc>
          <w:tcPr>
            <w:tcW w:w="4616" w:type="pct"/>
            <w:tcBorders>
              <w:top w:val="single" w:color="auto" w:sz="6" w:space="0"/>
              <w:bottom w:val="single" w:color="auto" w:sz="6" w:space="0"/>
            </w:tcBorders>
            <w:shd w:val="clear" w:color="auto" w:fill="auto"/>
          </w:tcPr>
          <w:p w14:paraId="2F9D2DA8">
            <w:pPr>
              <w:spacing w:before="120" w:after="120"/>
            </w:pPr>
            <w:r>
              <w:rPr>
                <w:b/>
              </w:rPr>
              <w:t>Title, number of pages and language(s) of the notified document:</w:t>
            </w:r>
            <w:r>
              <w:t xml:space="preserve"> Turkish Food Codex Communiqué on Spirit Drinks (30 pages, in Turkish); (30 page(s), in Turkish)</w:t>
            </w:r>
          </w:p>
        </w:tc>
      </w:tr>
      <w:tr w14:paraId="1304782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690" w:type="dxa"/>
            <w:tcBorders>
              <w:top w:val="single" w:color="auto" w:sz="6" w:space="0"/>
              <w:bottom w:val="single" w:color="auto" w:sz="6" w:space="0"/>
            </w:tcBorders>
            <w:shd w:val="clear" w:color="auto" w:fill="auto"/>
            <w:vAlign w:val="top"/>
          </w:tcPr>
          <w:p w14:paraId="5483A38C">
            <w:pPr>
              <w:keepNext/>
              <w:keepLines/>
              <w:spacing w:before="120" w:after="120"/>
              <w:jc w:val="center"/>
            </w:pPr>
            <w:r>
              <w:rPr>
                <w:b/>
              </w:rPr>
              <w:t>6.</w:t>
            </w:r>
          </w:p>
        </w:tc>
        <w:tc>
          <w:tcPr>
            <w:tcW w:w="8290" w:type="dxa"/>
            <w:tcBorders>
              <w:top w:val="single" w:color="auto" w:sz="6" w:space="0"/>
              <w:bottom w:val="single" w:color="auto" w:sz="6" w:space="0"/>
            </w:tcBorders>
            <w:shd w:val="clear" w:color="auto" w:fill="auto"/>
            <w:vAlign w:val="top"/>
          </w:tcPr>
          <w:p w14:paraId="73BC1F2A">
            <w:pPr>
              <w:keepNext/>
              <w:keepLines/>
              <w:spacing w:before="120" w:after="120"/>
            </w:pPr>
            <w:r>
              <w:rPr>
                <w:b/>
              </w:rPr>
              <w:t>Description of content:</w:t>
            </w:r>
            <w:r>
              <w:t xml:space="preserve"> This Communiqué covers the procedures and principles regarding the preparation, processing, production, storage, transportation, preservation, marketing of distilled spirit drinks, includind the definition and characteristics of distilled alcoholic beverages.</w:t>
            </w:r>
          </w:p>
        </w:tc>
      </w:tr>
      <w:tr w14:paraId="4F4341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690" w:type="dxa"/>
            <w:tcBorders>
              <w:top w:val="single" w:color="auto" w:sz="6" w:space="0"/>
              <w:bottom w:val="single" w:color="auto" w:sz="6" w:space="0"/>
            </w:tcBorders>
            <w:shd w:val="clear" w:color="auto" w:fill="auto"/>
            <w:vAlign w:val="top"/>
          </w:tcPr>
          <w:p w14:paraId="2D817D28">
            <w:pPr>
              <w:spacing w:before="120" w:after="120"/>
              <w:jc w:val="center"/>
            </w:pPr>
            <w:r>
              <w:rPr>
                <w:b/>
              </w:rPr>
              <w:t>7.</w:t>
            </w:r>
          </w:p>
        </w:tc>
        <w:tc>
          <w:tcPr>
            <w:tcW w:w="8290" w:type="dxa"/>
            <w:tcBorders>
              <w:top w:val="single" w:color="auto" w:sz="6" w:space="0"/>
              <w:bottom w:val="single" w:color="auto" w:sz="6" w:space="0"/>
            </w:tcBorders>
            <w:shd w:val="clear" w:color="auto" w:fill="auto"/>
            <w:vAlign w:val="top"/>
          </w:tcPr>
          <w:p w14:paraId="5BAB21F9">
            <w:pPr>
              <w:spacing w:before="120" w:after="120"/>
            </w:pPr>
            <w:r>
              <w:rPr>
                <w:b/>
              </w:rPr>
              <w:t>Objective and rationale, including the nature of urgent problems where applicable:</w:t>
            </w:r>
            <w:r>
              <w:t xml:space="preserve"> Consumer information, labelling; Prevention of deceptive practices and consumer protection; Protection of human health or safety </w:t>
            </w:r>
          </w:p>
        </w:tc>
      </w:tr>
      <w:tr w14:paraId="6EE1EBF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690" w:type="dxa"/>
            <w:tcBorders>
              <w:top w:val="single" w:color="auto" w:sz="6" w:space="0"/>
              <w:bottom w:val="single" w:color="auto" w:sz="6" w:space="0"/>
            </w:tcBorders>
            <w:shd w:val="clear" w:color="auto" w:fill="auto"/>
            <w:vAlign w:val="top"/>
          </w:tcPr>
          <w:p w14:paraId="622FB346">
            <w:pPr>
              <w:spacing w:before="120" w:after="120"/>
              <w:jc w:val="center"/>
            </w:pPr>
            <w:r>
              <w:rPr>
                <w:b/>
              </w:rPr>
              <w:t>8.</w:t>
            </w:r>
          </w:p>
        </w:tc>
        <w:tc>
          <w:tcPr>
            <w:tcW w:w="8290" w:type="dxa"/>
            <w:tcBorders>
              <w:top w:val="single" w:color="auto" w:sz="6" w:space="0"/>
              <w:bottom w:val="single" w:color="auto" w:sz="6" w:space="0"/>
            </w:tcBorders>
            <w:shd w:val="clear" w:color="auto" w:fill="auto"/>
            <w:vAlign w:val="top"/>
          </w:tcPr>
          <w:p w14:paraId="14CFE1B8">
            <w:pPr>
              <w:spacing w:before="120" w:after="120"/>
            </w:pPr>
            <w:r>
              <w:rPr>
                <w:b/>
                <w:bCs/>
              </w:rPr>
              <w:t>Relevant documents:</w:t>
            </w:r>
            <w:r>
              <w:t xml:space="preserve"> </w:t>
            </w:r>
          </w:p>
          <w:p w14:paraId="56E6402A">
            <w:pPr>
              <w:spacing w:before="120" w:after="120"/>
            </w:pPr>
            <w:r>
              <w:t>-Veterinary, Phytosanitary, Food and Feed Law No: 5996 (G/SPS/N/TUR/9)</w:t>
            </w:r>
          </w:p>
          <w:p w14:paraId="78098207">
            <w:pPr>
              <w:spacing w:before="120" w:after="120"/>
            </w:pPr>
            <w:r>
              <w:t>-Regulation (EU) 2019/787 of the European Parliament and of the Council of 17 April 2019 on the definition, description, presentation and labelling of spirit drinks, the use of the names of spirit drinks in the presentation and labelling of other foodstuffs, the protection of geographical indications for spirit drinks, the use of ethyl alcohol and distillates of agricultural origin in alcoholic beverages, and repealing Regulation (EC) No 110/2008.</w:t>
            </w:r>
          </w:p>
        </w:tc>
      </w:tr>
      <w:tr w14:paraId="29DCE8D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rPr>
          <w:cantSplit/>
        </w:trPr>
        <w:tc>
          <w:tcPr>
            <w:tcW w:w="690" w:type="dxa"/>
            <w:tcBorders>
              <w:top w:val="single" w:color="auto" w:sz="6" w:space="0"/>
              <w:bottom w:val="single" w:color="auto" w:sz="6" w:space="0"/>
            </w:tcBorders>
            <w:shd w:val="clear" w:color="auto" w:fill="auto"/>
            <w:vAlign w:val="top"/>
          </w:tcPr>
          <w:p w14:paraId="6C25DCBC">
            <w:pPr>
              <w:spacing w:before="120" w:after="120"/>
              <w:jc w:val="center"/>
              <w:rPr>
                <w:b/>
              </w:rPr>
            </w:pPr>
            <w:r>
              <w:rPr>
                <w:b/>
              </w:rPr>
              <w:t>9.</w:t>
            </w:r>
          </w:p>
        </w:tc>
        <w:tc>
          <w:tcPr>
            <w:tcW w:w="8290" w:type="dxa"/>
            <w:tcBorders>
              <w:top w:val="single" w:color="auto" w:sz="6" w:space="0"/>
              <w:bottom w:val="single" w:color="auto" w:sz="6" w:space="0"/>
            </w:tcBorders>
            <w:shd w:val="clear" w:color="auto" w:fill="auto"/>
            <w:vAlign w:val="top"/>
          </w:tcPr>
          <w:p w14:paraId="7812E5A5">
            <w:pPr>
              <w:spacing w:before="120" w:after="120"/>
            </w:pPr>
            <w:r>
              <w:rPr>
                <w:b/>
              </w:rPr>
              <w:t>Proposed date of adoption:</w:t>
            </w:r>
            <w:r>
              <w:rPr>
                <w:bCs/>
              </w:rPr>
              <w:t xml:space="preserve"> 13 November 2025</w:t>
            </w:r>
          </w:p>
          <w:p w14:paraId="04D50392">
            <w:pPr>
              <w:spacing w:after="120"/>
            </w:pPr>
            <w:r>
              <w:rPr>
                <w:b/>
              </w:rPr>
              <w:t>Proposed date of entry into force:</w:t>
            </w:r>
            <w:r>
              <w:rPr>
                <w:bCs/>
              </w:rPr>
              <w:t xml:space="preserve"> This Communique shall enter into force on the date of its publication.</w:t>
            </w:r>
          </w:p>
          <w:p w14:paraId="63EF3D76">
            <w:pPr>
              <w:spacing w:after="120"/>
              <w:rPr>
                <w:bCs/>
              </w:rPr>
            </w:pPr>
            <w:r>
              <w:rPr>
                <w:bCs/>
              </w:rPr>
              <w:t>• Food business operators that were in operation prior to the date of publication of this Communique must comply with the provisions of this Communique by 30 June 2026.</w:t>
            </w:r>
          </w:p>
          <w:p w14:paraId="673E6193">
            <w:pPr>
              <w:spacing w:after="120"/>
              <w:rPr>
                <w:bCs/>
              </w:rPr>
            </w:pPr>
            <w:r>
              <w:rPr>
                <w:bCs/>
              </w:rPr>
              <w:t>• Food business operators that were in operation prior to the date of publication of this Communique must comply with the Communique in force now until they comply with the new Communique.</w:t>
            </w:r>
          </w:p>
          <w:p w14:paraId="25CCD6E5">
            <w:pPr>
              <w:spacing w:after="120"/>
              <w:rPr>
                <w:bCs/>
              </w:rPr>
            </w:pPr>
            <w:r>
              <w:rPr>
                <w:bCs/>
              </w:rPr>
              <w:t>• Products that were placed on the market or had their import official controls completed prior to the publication date of this Communique may remain on the market until 31 December 2027.</w:t>
            </w:r>
          </w:p>
        </w:tc>
      </w:tr>
      <w:tr w14:paraId="75D985A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384" w:type="pct"/>
            <w:tcBorders>
              <w:top w:val="single" w:color="auto" w:sz="6" w:space="0"/>
              <w:bottom w:val="single" w:color="auto" w:sz="6" w:space="0"/>
            </w:tcBorders>
            <w:shd w:val="clear" w:color="auto" w:fill="auto"/>
          </w:tcPr>
          <w:p w14:paraId="1ADD4B09">
            <w:pPr>
              <w:spacing w:before="120" w:after="120"/>
              <w:jc w:val="center"/>
            </w:pPr>
            <w:r>
              <w:rPr>
                <w:b/>
              </w:rPr>
              <w:t>10.</w:t>
            </w:r>
          </w:p>
        </w:tc>
        <w:tc>
          <w:tcPr>
            <w:tcW w:w="4616" w:type="pct"/>
            <w:tcBorders>
              <w:top w:val="single" w:color="auto" w:sz="6" w:space="0"/>
              <w:bottom w:val="single" w:color="auto" w:sz="6" w:space="0"/>
            </w:tcBorders>
            <w:shd w:val="clear" w:color="auto" w:fill="auto"/>
          </w:tcPr>
          <w:p w14:paraId="459DAB68">
            <w:pPr>
              <w:spacing w:before="120" w:after="120"/>
              <w:rPr>
                <w:bCs/>
              </w:rPr>
            </w:pPr>
            <w:r>
              <w:rPr>
                <w:b/>
              </w:rPr>
              <w:t>Final date for comments:</w:t>
            </w:r>
            <w:r>
              <w:t xml:space="preserve"> 29 September 2025</w:t>
            </w:r>
          </w:p>
          <w:p w14:paraId="4CC599EF">
            <w:pPr>
              <w:spacing w:before="120" w:after="120"/>
              <w:rPr>
                <w:b/>
                <w:bCs/>
              </w:rPr>
            </w:pPr>
            <w:r>
              <w:rPr>
                <w:b/>
                <w:bCs/>
              </w:rPr>
              <w:t>[X] 60 days from notification</w:t>
            </w:r>
            <w:r>
              <w:t xml:space="preserve"> </w:t>
            </w:r>
          </w:p>
          <w:p w14:paraId="53AF47E8">
            <w:pPr>
              <w:spacing w:before="120" w:after="120"/>
            </w:pPr>
            <w:r>
              <w:rPr>
                <w:b/>
                <w:bCs/>
              </w:rPr>
              <w:t>Contact details of agency or authority designated to handle comments regarding the notification:</w:t>
            </w:r>
            <w:r>
              <w:t xml:space="preserve"> </w:t>
            </w:r>
          </w:p>
          <w:p w14:paraId="06666035">
            <w:r>
              <w:t>Ministry of Trade</w:t>
            </w:r>
          </w:p>
          <w:p w14:paraId="20858B53">
            <w:r>
              <w:t>DG Product Safety and Inspection</w:t>
            </w:r>
          </w:p>
          <w:p w14:paraId="3E3EC03A">
            <w:r>
              <w:t>T.C. Ticaret Bakanligi</w:t>
            </w:r>
          </w:p>
          <w:p w14:paraId="08613915">
            <w:pPr>
              <w:rPr>
                <w:lang w:val="es-ES"/>
              </w:rPr>
            </w:pPr>
            <w:r>
              <w:t xml:space="preserve">Söðütözü Mah. 2176. </w:t>
            </w:r>
            <w:r>
              <w:rPr>
                <w:lang w:val="es-ES"/>
              </w:rPr>
              <w:t>Sk.</w:t>
            </w:r>
          </w:p>
          <w:p w14:paraId="14D77D19">
            <w:pPr>
              <w:rPr>
                <w:lang w:val="es-ES"/>
              </w:rPr>
            </w:pPr>
            <w:r>
              <w:rPr>
                <w:lang w:val="es-ES"/>
              </w:rPr>
              <w:t>No:63, Çankaya</w:t>
            </w:r>
          </w:p>
          <w:p w14:paraId="29E6F0D7">
            <w:pPr>
              <w:rPr>
                <w:lang w:val="es-ES"/>
              </w:rPr>
            </w:pPr>
            <w:r>
              <w:rPr>
                <w:lang w:val="es-ES"/>
              </w:rPr>
              <w:t>Ankara, 06530</w:t>
            </w:r>
          </w:p>
          <w:p w14:paraId="1BB229E5">
            <w:pPr>
              <w:rPr>
                <w:lang w:val="es-ES"/>
              </w:rPr>
            </w:pPr>
            <w:r>
              <w:rPr>
                <w:lang w:val="es-ES"/>
              </w:rPr>
              <w:t>06530</w:t>
            </w:r>
          </w:p>
          <w:p w14:paraId="1CFDFC1A">
            <w:pPr>
              <w:rPr>
                <w:lang w:val="es-ES"/>
              </w:rPr>
            </w:pPr>
            <w:r>
              <w:rPr>
                <w:lang w:val="es-ES"/>
              </w:rPr>
              <w:t>Tel: +(90 312) 204 89 75; +(90 312) 204 9286</w:t>
            </w:r>
          </w:p>
          <w:p w14:paraId="56BD36FA">
            <w:pPr>
              <w:rPr>
                <w:lang w:val="fr-CH"/>
              </w:rPr>
            </w:pPr>
            <w:r>
              <w:rPr>
                <w:lang w:val="fr-CH"/>
              </w:rPr>
              <w:t>Fax: +(90 312) 212 87 68; +(90 312) 204 86 38</w:t>
            </w:r>
          </w:p>
          <w:p w14:paraId="33F3043D">
            <w:pPr>
              <w:rPr>
                <w:lang w:val="fr-CH"/>
              </w:rPr>
            </w:pPr>
            <w:r>
              <w:rPr>
                <w:lang w:val="fr-CH"/>
              </w:rPr>
              <w:t xml:space="preserve">Email: </w:t>
            </w:r>
            <w:r>
              <w:fldChar w:fldCharType="begin"/>
            </w:r>
            <w:r>
              <w:instrText xml:space="preserve"> HYPERLINK "mailto:tbt@ticaret.gov.tr" </w:instrText>
            </w:r>
            <w:r>
              <w:fldChar w:fldCharType="separate"/>
            </w:r>
            <w:r>
              <w:rPr>
                <w:color w:val="0000FF"/>
                <w:u w:val="single"/>
                <w:lang w:val="fr-CH"/>
              </w:rPr>
              <w:t>tbt@ticaret.gov.tr</w:t>
            </w:r>
            <w:r>
              <w:rPr>
                <w:color w:val="0000FF"/>
                <w:u w:val="single"/>
                <w:lang w:val="fr-CH"/>
              </w:rPr>
              <w:fldChar w:fldCharType="end"/>
            </w:r>
          </w:p>
          <w:p w14:paraId="0CF675D3">
            <w:r>
              <w:t xml:space="preserve">Website: </w:t>
            </w:r>
            <w:r>
              <w:fldChar w:fldCharType="begin"/>
            </w:r>
            <w:r>
              <w:instrText xml:space="preserve"> HYPERLINK "https://teknikengel.ticaret.gov.tr/" \t "_blank" </w:instrText>
            </w:r>
            <w:r>
              <w:fldChar w:fldCharType="separate"/>
            </w:r>
            <w:r>
              <w:rPr>
                <w:color w:val="0000FF"/>
                <w:u w:val="single"/>
              </w:rPr>
              <w:t>https://teknikengel.ticaret.gov.tr/</w:t>
            </w:r>
            <w:r>
              <w:rPr>
                <w:color w:val="0000FF"/>
                <w:u w:val="single"/>
              </w:rPr>
              <w:fldChar w:fldCharType="end"/>
            </w:r>
          </w:p>
          <w:p w14:paraId="6612D513">
            <w:r>
              <w:t>OR</w:t>
            </w:r>
          </w:p>
          <w:p w14:paraId="7B85274B">
            <w:r>
              <w:t>Ministry of Agriculture and Forestry</w:t>
            </w:r>
          </w:p>
          <w:p w14:paraId="3E416FF1">
            <w:r>
              <w:t>General Directorate of Food and Control</w:t>
            </w:r>
          </w:p>
          <w:p w14:paraId="6F704897">
            <w:r>
              <w:t>Eskisehir Yolu 9. Km. Lodumlu Ankara - Türkiye</w:t>
            </w:r>
          </w:p>
          <w:p w14:paraId="419DB31B">
            <w:r>
              <w:t>Tel: +(90) 312 258 77 53</w:t>
            </w:r>
          </w:p>
          <w:p w14:paraId="59ECDC2A">
            <w:r>
              <w:t>Fax: +(90) 312 258 77 60</w:t>
            </w:r>
          </w:p>
          <w:p w14:paraId="6EC70A6D">
            <w:r>
              <w:t xml:space="preserve">E-mail: </w:t>
            </w:r>
            <w:r>
              <w:fldChar w:fldCharType="begin"/>
            </w:r>
            <w:r>
              <w:instrText xml:space="preserve"> HYPERLINK "mailto:kodeks@tarimorman.gov.tr" </w:instrText>
            </w:r>
            <w:r>
              <w:fldChar w:fldCharType="separate"/>
            </w:r>
            <w:r>
              <w:rPr>
                <w:color w:val="0000FF"/>
                <w:u w:val="single"/>
              </w:rPr>
              <w:t>kodeks@tarimorman.gov.tr</w:t>
            </w:r>
            <w:r>
              <w:rPr>
                <w:color w:val="0000FF"/>
                <w:u w:val="single"/>
              </w:rPr>
              <w:fldChar w:fldCharType="end"/>
            </w:r>
          </w:p>
          <w:p w14:paraId="7B956945">
            <w:pPr>
              <w:spacing w:before="120" w:after="120"/>
            </w:pPr>
            <w:r>
              <w:t xml:space="preserve">Website: </w:t>
            </w:r>
            <w:r>
              <w:fldChar w:fldCharType="begin"/>
            </w:r>
            <w:r>
              <w:instrText xml:space="preserve"> HYPERLINK "https://www.tarimorman.gov.tr/GKGM" \t "_blank" </w:instrText>
            </w:r>
            <w:r>
              <w:fldChar w:fldCharType="separate"/>
            </w:r>
            <w:r>
              <w:rPr>
                <w:color w:val="0000FF"/>
                <w:u w:val="single"/>
              </w:rPr>
              <w:t>https://www.tarimorman.gov.tr/GKGM</w:t>
            </w:r>
            <w:r>
              <w:rPr>
                <w:color w:val="0000FF"/>
                <w:u w:val="single"/>
              </w:rPr>
              <w:fldChar w:fldCharType="end"/>
            </w:r>
            <w:bookmarkStart w:id="11" w:name="_GoBack"/>
            <w:bookmarkEnd w:id="11"/>
          </w:p>
        </w:tc>
      </w:tr>
      <w:tr w14:paraId="4A7DD74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rPr>
          <w:trHeight w:val="345" w:hRule="atLeast"/>
        </w:trPr>
        <w:tc>
          <w:tcPr>
            <w:tcW w:w="384" w:type="pct"/>
            <w:tcBorders>
              <w:top w:val="single" w:color="auto" w:sz="6" w:space="0"/>
              <w:bottom w:val="double" w:color="auto" w:sz="6" w:space="0"/>
            </w:tcBorders>
            <w:shd w:val="clear" w:color="auto" w:fill="auto"/>
          </w:tcPr>
          <w:p w14:paraId="34E8B4FA">
            <w:pPr>
              <w:keepNext/>
              <w:keepLines/>
              <w:spacing w:before="120" w:after="120"/>
              <w:jc w:val="center"/>
            </w:pPr>
            <w:r>
              <w:rPr>
                <w:b/>
              </w:rPr>
              <w:t>11.</w:t>
            </w:r>
          </w:p>
        </w:tc>
        <w:tc>
          <w:tcPr>
            <w:tcW w:w="4616" w:type="pct"/>
            <w:tcBorders>
              <w:top w:val="single" w:color="auto" w:sz="6" w:space="0"/>
              <w:bottom w:val="double" w:color="auto" w:sz="6" w:space="0"/>
            </w:tcBorders>
            <w:shd w:val="clear" w:color="auto" w:fill="auto"/>
          </w:tcPr>
          <w:p w14:paraId="5E73B0E9">
            <w:pPr>
              <w:keepNext/>
              <w:keepLines/>
              <w:spacing w:before="120" w:after="120"/>
              <w:rPr>
                <w:b/>
              </w:rPr>
            </w:pPr>
            <w:r>
              <w:rPr>
                <w:b/>
              </w:rPr>
              <w:t>Texts available from: National enquiry point [X] or address, telephone or fax numbers and email and website addresses, if available, of other body:</w:t>
            </w:r>
            <w:r>
              <w:t xml:space="preserve"> </w:t>
            </w:r>
          </w:p>
          <w:p w14:paraId="2EEC59C1">
            <w:pPr>
              <w:rPr>
                <w:iCs/>
              </w:rPr>
            </w:pPr>
            <w:r>
              <w:rPr>
                <w:iCs/>
              </w:rPr>
              <w:t>Türkiye-TBT Enquiry Point</w:t>
            </w:r>
          </w:p>
          <w:p w14:paraId="3C3C0F0A">
            <w:pPr>
              <w:rPr>
                <w:iCs/>
              </w:rPr>
            </w:pPr>
            <w:r>
              <w:rPr>
                <w:iCs/>
              </w:rPr>
              <w:t>Ministry of Trade</w:t>
            </w:r>
          </w:p>
          <w:p w14:paraId="6719C8E0">
            <w:pPr>
              <w:rPr>
                <w:iCs/>
              </w:rPr>
            </w:pPr>
            <w:r>
              <w:rPr>
                <w:iCs/>
              </w:rPr>
              <w:t>DG of Product Safety and Inspection</w:t>
            </w:r>
          </w:p>
          <w:p w14:paraId="633C15D6">
            <w:pPr>
              <w:rPr>
                <w:iCs/>
              </w:rPr>
            </w:pPr>
            <w:r>
              <w:rPr>
                <w:iCs/>
              </w:rPr>
              <w:t>Söğütözü Mah. 2176 Sk. No:63, 06510 Çankaya/Ankara</w:t>
            </w:r>
          </w:p>
          <w:p w14:paraId="131E9221">
            <w:pPr>
              <w:rPr>
                <w:iCs/>
              </w:rPr>
            </w:pPr>
            <w:r>
              <w:rPr>
                <w:iCs/>
              </w:rPr>
              <w:t>Telephone: +90 312 204 89 93</w:t>
            </w:r>
          </w:p>
          <w:p w14:paraId="16D8B83C">
            <w:pPr>
              <w:rPr>
                <w:iCs/>
              </w:rPr>
            </w:pPr>
            <w:r>
              <w:rPr>
                <w:iCs/>
              </w:rPr>
              <w:t>Fax: +90 312 212 68 64</w:t>
            </w:r>
          </w:p>
          <w:p w14:paraId="13208AC6">
            <w:pPr>
              <w:rPr>
                <w:iCs/>
              </w:rPr>
            </w:pPr>
            <w:r>
              <w:rPr>
                <w:iCs/>
              </w:rPr>
              <w:t xml:space="preserve">E-mail: </w:t>
            </w:r>
            <w:r>
              <w:fldChar w:fldCharType="begin"/>
            </w:r>
            <w:r>
              <w:instrText xml:space="preserve"> HYPERLINK "mailto:tbt@ticaret.gov.tr" </w:instrText>
            </w:r>
            <w:r>
              <w:fldChar w:fldCharType="separate"/>
            </w:r>
            <w:r>
              <w:rPr>
                <w:iCs/>
                <w:color w:val="0000FF"/>
                <w:u w:val="single"/>
              </w:rPr>
              <w:t>tbt@ticaret.gov.tr</w:t>
            </w:r>
            <w:r>
              <w:rPr>
                <w:iCs/>
                <w:color w:val="0000FF"/>
                <w:u w:val="single"/>
              </w:rPr>
              <w:fldChar w:fldCharType="end"/>
            </w:r>
          </w:p>
          <w:p w14:paraId="62789183">
            <w:pPr>
              <w:rPr>
                <w:iCs/>
              </w:rPr>
            </w:pPr>
            <w:r>
              <w:rPr>
                <w:iCs/>
              </w:rPr>
              <w:t xml:space="preserve">Website: </w:t>
            </w:r>
            <w:r>
              <w:fldChar w:fldCharType="begin"/>
            </w:r>
            <w:r>
              <w:instrText xml:space="preserve"> HYPERLINK "http://www.teknikengel.gov.tr" \t "_blank" </w:instrText>
            </w:r>
            <w:r>
              <w:fldChar w:fldCharType="separate"/>
            </w:r>
            <w:r>
              <w:rPr>
                <w:iCs/>
                <w:color w:val="0000FF"/>
                <w:u w:val="single"/>
              </w:rPr>
              <w:t>http://www.teknikengel.gov.tr</w:t>
            </w:r>
            <w:r>
              <w:rPr>
                <w:iCs/>
                <w:color w:val="0000FF"/>
                <w:u w:val="single"/>
              </w:rPr>
              <w:fldChar w:fldCharType="end"/>
            </w:r>
          </w:p>
          <w:p w14:paraId="467348A6">
            <w:pPr>
              <w:rPr>
                <w:iCs/>
              </w:rPr>
            </w:pPr>
            <w:r>
              <w:rPr>
                <w:iCs/>
              </w:rPr>
              <w:t>OR</w:t>
            </w:r>
          </w:p>
          <w:p w14:paraId="4FB6DE06">
            <w:pPr>
              <w:rPr>
                <w:iCs/>
              </w:rPr>
            </w:pPr>
            <w:r>
              <w:rPr>
                <w:iCs/>
              </w:rPr>
              <w:t>Ministry of Agriculture and Forestry</w:t>
            </w:r>
          </w:p>
          <w:p w14:paraId="35705E3A">
            <w:pPr>
              <w:rPr>
                <w:iCs/>
              </w:rPr>
            </w:pPr>
            <w:r>
              <w:rPr>
                <w:iCs/>
              </w:rPr>
              <w:t>General Directorate of Food and Control</w:t>
            </w:r>
          </w:p>
          <w:p w14:paraId="32DBACF0">
            <w:pPr>
              <w:rPr>
                <w:iCs/>
              </w:rPr>
            </w:pPr>
            <w:r>
              <w:rPr>
                <w:iCs/>
              </w:rPr>
              <w:t>Eskisehir Yolu 9. Km. Lodumlu Ankara - Türkiye</w:t>
            </w:r>
          </w:p>
          <w:p w14:paraId="3086532C">
            <w:pPr>
              <w:rPr>
                <w:iCs/>
              </w:rPr>
            </w:pPr>
            <w:r>
              <w:rPr>
                <w:iCs/>
              </w:rPr>
              <w:t>Tel: +(90) 312 258 77 30</w:t>
            </w:r>
          </w:p>
          <w:p w14:paraId="2C318C9D">
            <w:pPr>
              <w:rPr>
                <w:iCs/>
              </w:rPr>
            </w:pPr>
            <w:r>
              <w:rPr>
                <w:iCs/>
              </w:rPr>
              <w:t>Fax: +(90) 312 258 77 60</w:t>
            </w:r>
          </w:p>
          <w:p w14:paraId="03EC1D69">
            <w:pPr>
              <w:rPr>
                <w:iCs/>
              </w:rPr>
            </w:pPr>
            <w:r>
              <w:rPr>
                <w:iCs/>
              </w:rPr>
              <w:t xml:space="preserve">E-mail: </w:t>
            </w:r>
            <w:r>
              <w:fldChar w:fldCharType="begin"/>
            </w:r>
            <w:r>
              <w:instrText xml:space="preserve"> HYPERLINK "mailto:sps@tarimorman.gov.tr" </w:instrText>
            </w:r>
            <w:r>
              <w:fldChar w:fldCharType="separate"/>
            </w:r>
            <w:r>
              <w:rPr>
                <w:iCs/>
                <w:color w:val="0000FF"/>
                <w:u w:val="single"/>
              </w:rPr>
              <w:t>sps@tarimorman.gov.tr</w:t>
            </w:r>
            <w:r>
              <w:rPr>
                <w:iCs/>
                <w:color w:val="0000FF"/>
                <w:u w:val="single"/>
              </w:rPr>
              <w:fldChar w:fldCharType="end"/>
            </w:r>
            <w:r>
              <w:rPr>
                <w:iCs/>
              </w:rPr>
              <w:t xml:space="preserve">; </w:t>
            </w:r>
            <w:r>
              <w:fldChar w:fldCharType="begin"/>
            </w:r>
            <w:r>
              <w:instrText xml:space="preserve"> HYPERLINK "mailto:kodeks@tarimorman.gov.tr" </w:instrText>
            </w:r>
            <w:r>
              <w:fldChar w:fldCharType="separate"/>
            </w:r>
            <w:r>
              <w:rPr>
                <w:iCs/>
                <w:color w:val="0000FF"/>
                <w:u w:val="single"/>
              </w:rPr>
              <w:t>kodeks@tarimorman.gov.tr</w:t>
            </w:r>
            <w:r>
              <w:rPr>
                <w:iCs/>
                <w:color w:val="0000FF"/>
                <w:u w:val="single"/>
              </w:rPr>
              <w:fldChar w:fldCharType="end"/>
            </w:r>
          </w:p>
          <w:p w14:paraId="60F40311">
            <w:pPr>
              <w:keepNext/>
              <w:keepLines/>
              <w:rPr>
                <w:color w:val="0000FF"/>
                <w:u w:val="single"/>
              </w:rPr>
            </w:pPr>
            <w:r>
              <w:rPr>
                <w:iCs/>
              </w:rPr>
              <w:t xml:space="preserve">Website: </w:t>
            </w:r>
            <w:r>
              <w:fldChar w:fldCharType="begin"/>
            </w:r>
            <w:r>
              <w:instrText xml:space="preserve"> HYPERLINK "https://www.tarimorman.gov.tr/GKGM" \t "_blank" </w:instrText>
            </w:r>
            <w:r>
              <w:fldChar w:fldCharType="separate"/>
            </w:r>
            <w:r>
              <w:rPr>
                <w:iCs/>
                <w:color w:val="0000FF"/>
                <w:u w:val="single"/>
              </w:rPr>
              <w:t>https://www.tarimorman.gov.tr/GKGM</w:t>
            </w:r>
            <w:r>
              <w:rPr>
                <w:iCs/>
                <w:color w:val="0000FF"/>
                <w:u w:val="single"/>
              </w:rPr>
              <w:fldChar w:fldCharType="end"/>
            </w:r>
          </w:p>
          <w:p w14:paraId="0818C82B">
            <w:pPr>
              <w:keepNext/>
              <w:keepLines/>
              <w:rPr>
                <w:color w:val="0000FF"/>
                <w:u w:val="single"/>
              </w:rPr>
            </w:pPr>
          </w:p>
          <w:p w14:paraId="77A6C5DE">
            <w:pPr>
              <w:pBdr>
                <w:top w:val="none" w:color="auto" w:sz="0" w:space="4"/>
              </w:pBdr>
              <w:rPr>
                <w:iCs/>
              </w:rPr>
            </w:pPr>
            <w:r>
              <w:fldChar w:fldCharType="begin"/>
            </w:r>
            <w:r>
              <w:instrText xml:space="preserve"> HYPERLINK "https://members.wto.org/crnattachments/2025/TBT/TUR/25_05081_00_x.pdf" \t "_blank" </w:instrText>
            </w:r>
            <w:r>
              <w:fldChar w:fldCharType="separate"/>
            </w:r>
            <w:r>
              <w:rPr>
                <w:iCs/>
                <w:color w:val="0000FF"/>
                <w:u w:val="single"/>
              </w:rPr>
              <w:t>https://members.wto.org/crnattachments/2025/TBT/TUR/25_05081_00_x.pdf</w:t>
            </w:r>
            <w:r>
              <w:rPr>
                <w:iCs/>
                <w:color w:val="0000FF"/>
                <w:u w:val="single"/>
              </w:rPr>
              <w:fldChar w:fldCharType="end"/>
            </w:r>
          </w:p>
          <w:p w14:paraId="5401BAE0">
            <w:pPr>
              <w:pBdr>
                <w:bottom w:val="none" w:color="auto" w:sz="0" w:space="4"/>
              </w:pBdr>
              <w:rPr>
                <w:iCs/>
              </w:rPr>
            </w:pPr>
            <w:r>
              <w:fldChar w:fldCharType="begin"/>
            </w:r>
            <w:r>
              <w:instrText xml:space="preserve"> HYPERLINK "https://members.wto.org/crnattachments/2025/TBT/TUR/25_05081_01_x.pdf" \t "_blank" </w:instrText>
            </w:r>
            <w:r>
              <w:fldChar w:fldCharType="separate"/>
            </w:r>
            <w:r>
              <w:rPr>
                <w:iCs/>
                <w:color w:val="0000FF"/>
                <w:u w:val="single"/>
              </w:rPr>
              <w:t>https://members.wto.org/crnattachments/2025/TBT/TUR/25_05081_01_x.pdf</w:t>
            </w:r>
            <w:r>
              <w:rPr>
                <w:iCs/>
                <w:color w:val="0000FF"/>
                <w:u w:val="single"/>
              </w:rPr>
              <w:fldChar w:fldCharType="end"/>
            </w:r>
          </w:p>
          <w:p w14:paraId="616B0C7F">
            <w:r>
              <w:fldChar w:fldCharType="begin"/>
            </w:r>
            <w:r>
              <w:instrText xml:space="preserve"> HYPERLINK "https://www.tarimorman.gov.tr/GKGM/Duyuru/657/Mevzuat-Taslagi-Tgk-Distile-Alkollu-Ickiler-Tebligi" \t "_blank" </w:instrText>
            </w:r>
            <w:r>
              <w:fldChar w:fldCharType="separate"/>
            </w:r>
            <w:r>
              <w:rPr>
                <w:iCs/>
                <w:color w:val="0000FF"/>
                <w:u w:val="single"/>
              </w:rPr>
              <w:t>https://www.tarimorman.gov.tr/GKGM/Duyuru/657/Mevzuat-Taslagi-Tgk-Distile-Alkollu-Ickiler-Tebligi</w:t>
            </w:r>
            <w:r>
              <w:rPr>
                <w:iCs/>
                <w:color w:val="0000FF"/>
                <w:u w:val="single"/>
              </w:rPr>
              <w:fldChar w:fldCharType="end"/>
            </w:r>
          </w:p>
          <w:p w14:paraId="323959C2">
            <w:pPr>
              <w:keepNext/>
              <w:keepLines/>
              <w:spacing w:after="120"/>
            </w:pPr>
          </w:p>
        </w:tc>
      </w:tr>
    </w:tbl>
    <w:p w14:paraId="511B165E"/>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EC9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ECBEB">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A18BE">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862F1">
    <w:pPr>
      <w:pStyle w:val="58"/>
      <w:pBdr>
        <w:bottom w:val="single" w:color="auto" w:sz="4" w:space="1"/>
      </w:pBdr>
      <w:tabs>
        <w:tab w:val="clear" w:pos="4513"/>
        <w:tab w:val="clear" w:pos="9027"/>
      </w:tabs>
      <w:jc w:val="center"/>
    </w:pPr>
    <w:bookmarkStart w:id="0" w:name="spsSymbolHeader"/>
    <w:r>
      <w:t>G/TBT/N/TUR/48/Rev.1</w:t>
    </w:r>
    <w:bookmarkEnd w:id="0"/>
  </w:p>
  <w:p w14:paraId="5F489835">
    <w:pPr>
      <w:pStyle w:val="58"/>
      <w:pBdr>
        <w:bottom w:val="single" w:color="auto" w:sz="4" w:space="1"/>
      </w:pBdr>
      <w:tabs>
        <w:tab w:val="clear" w:pos="4513"/>
        <w:tab w:val="clear" w:pos="9027"/>
      </w:tabs>
      <w:jc w:val="center"/>
    </w:pPr>
  </w:p>
  <w:p w14:paraId="7F040F3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59C92C70">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5963B">
    <w:pPr>
      <w:pStyle w:val="58"/>
      <w:pBdr>
        <w:bottom w:val="single" w:color="auto" w:sz="4" w:space="1"/>
      </w:pBdr>
      <w:tabs>
        <w:tab w:val="clear" w:pos="4513"/>
        <w:tab w:val="clear" w:pos="9027"/>
      </w:tabs>
      <w:jc w:val="center"/>
    </w:pPr>
    <w:r>
      <w:t>G/TBT/N/COUNTRY</w:t>
    </w:r>
  </w:p>
  <w:p w14:paraId="34311712">
    <w:pPr>
      <w:pStyle w:val="58"/>
      <w:pBdr>
        <w:bottom w:val="single" w:color="auto" w:sz="4" w:space="1"/>
      </w:pBdr>
      <w:tabs>
        <w:tab w:val="clear" w:pos="4513"/>
        <w:tab w:val="clear" w:pos="9027"/>
      </w:tabs>
      <w:jc w:val="center"/>
    </w:pPr>
  </w:p>
  <w:p w14:paraId="5A4EEBE0">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20BBC9A7">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120F3C28">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662443EA">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184E61EB">
          <w:pPr>
            <w:jc w:val="right"/>
            <w:rPr>
              <w:b/>
              <w:color w:val="FF0000"/>
              <w:szCs w:val="16"/>
            </w:rPr>
          </w:pPr>
        </w:p>
      </w:tc>
    </w:tr>
    <w:bookmarkEnd w:id="1"/>
    <w:tr w14:paraId="093E71CB">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6D837E74">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897239F">
          <w:pPr>
            <w:jc w:val="right"/>
            <w:rPr>
              <w:b/>
              <w:szCs w:val="16"/>
            </w:rPr>
          </w:pPr>
        </w:p>
      </w:tc>
    </w:tr>
    <w:tr w14:paraId="2A62A64C">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3BA022DB">
          <w:pPr>
            <w:jc w:val="left"/>
            <w:rPr>
              <w:lang w:eastAsia="en-GB"/>
            </w:rPr>
          </w:pPr>
        </w:p>
      </w:tc>
      <w:tc>
        <w:tcPr>
          <w:tcW w:w="5448" w:type="dxa"/>
          <w:gridSpan w:val="2"/>
          <w:shd w:val="clear" w:color="auto" w:fill="FFFFFF"/>
          <w:tcMar>
            <w:left w:w="108" w:type="dxa"/>
            <w:right w:w="108" w:type="dxa"/>
          </w:tcMar>
        </w:tcPr>
        <w:p w14:paraId="0966088C">
          <w:pPr>
            <w:jc w:val="right"/>
            <w:rPr>
              <w:b/>
              <w:szCs w:val="16"/>
            </w:rPr>
          </w:pPr>
          <w:bookmarkStart w:id="2" w:name="bmkSymbols"/>
          <w:r>
            <w:rPr>
              <w:b/>
              <w:szCs w:val="16"/>
            </w:rPr>
            <w:t>G/TBT/N/TUR/</w:t>
          </w:r>
          <w:r>
            <w:rPr>
              <w:rFonts w:hint="eastAsia" w:eastAsia="宋体"/>
              <w:b/>
              <w:szCs w:val="16"/>
              <w:lang w:val="en-US" w:eastAsia="zh-CN"/>
            </w:rPr>
            <w:t>71</w:t>
          </w:r>
          <w:r>
            <w:rPr>
              <w:b/>
              <w:szCs w:val="16"/>
            </w:rPr>
            <w:t>/Rev.1</w:t>
          </w:r>
          <w:bookmarkEnd w:id="2"/>
        </w:p>
      </w:tc>
    </w:tr>
    <w:tr w14:paraId="5EEE167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2592775F"/>
      </w:tc>
      <w:tc>
        <w:tcPr>
          <w:tcW w:w="5448" w:type="dxa"/>
          <w:gridSpan w:val="2"/>
          <w:shd w:val="clear" w:color="auto" w:fill="FFFFFF"/>
          <w:tcMar>
            <w:left w:w="108" w:type="dxa"/>
            <w:right w:w="108" w:type="dxa"/>
          </w:tcMar>
          <w:vAlign w:val="center"/>
        </w:tcPr>
        <w:p w14:paraId="7EFA2F1B">
          <w:pPr>
            <w:jc w:val="right"/>
            <w:rPr>
              <w:szCs w:val="16"/>
            </w:rPr>
          </w:pPr>
          <w:bookmarkStart w:id="3" w:name="spsDateDistribution"/>
          <w:bookmarkEnd w:id="3"/>
          <w:bookmarkStart w:id="4" w:name="bmkDate"/>
          <w:bookmarkEnd w:id="4"/>
          <w:r>
            <w:rPr>
              <w:szCs w:val="16"/>
            </w:rPr>
            <w:t>31 July 2025</w:t>
          </w:r>
        </w:p>
      </w:tc>
    </w:tr>
    <w:tr w14:paraId="62D1E16F">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6EE0D694">
          <w:pPr>
            <w:jc w:val="left"/>
            <w:rPr>
              <w:b/>
            </w:rPr>
          </w:pPr>
          <w:bookmarkStart w:id="5" w:name="bmkSerial"/>
          <w:r>
            <w:rPr>
              <w:color w:val="FF0000"/>
              <w:szCs w:val="16"/>
            </w:rPr>
            <w:t>(</w:t>
          </w:r>
          <w:bookmarkStart w:id="6" w:name="spsSerialNumber"/>
          <w:bookmarkEnd w:id="6"/>
          <w:r>
            <w:rPr>
              <w:b w:val="0"/>
              <w:color w:val="FF0000"/>
            </w:rPr>
            <w:t>25-4949</w:t>
          </w:r>
          <w:r>
            <w:rPr>
              <w:color w:val="FF0000"/>
              <w:szCs w:val="16"/>
            </w:rPr>
            <w:t>)</w:t>
          </w:r>
          <w:bookmarkEnd w:id="5"/>
        </w:p>
      </w:tc>
      <w:tc>
        <w:tcPr>
          <w:tcW w:w="3325" w:type="dxa"/>
          <w:tcBorders>
            <w:bottom w:val="single" w:color="auto" w:sz="4" w:space="0"/>
          </w:tcBorders>
          <w:tcMar>
            <w:top w:w="0" w:type="dxa"/>
            <w:left w:w="108" w:type="dxa"/>
            <w:bottom w:w="57" w:type="dxa"/>
            <w:right w:w="108" w:type="dxa"/>
          </w:tcMar>
          <w:vAlign w:val="bottom"/>
        </w:tcPr>
        <w:p w14:paraId="4294D591">
          <w:pPr>
            <w:jc w:val="right"/>
            <w:rPr>
              <w:szCs w:val="16"/>
            </w:rPr>
          </w:pPr>
          <w:bookmarkStart w:id="7"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bCs/>
              <w:szCs w:val="16"/>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bCs/>
              <w:szCs w:val="16"/>
            </w:rPr>
            <w:t>1</w:t>
          </w:r>
          <w:r>
            <w:rPr>
              <w:bCs/>
              <w:szCs w:val="16"/>
            </w:rPr>
            <w:fldChar w:fldCharType="end"/>
          </w:r>
          <w:bookmarkEnd w:id="7"/>
        </w:p>
      </w:tc>
    </w:tr>
    <w:tr w14:paraId="63FE30D6">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28C23D49">
          <w:pPr>
            <w:jc w:val="left"/>
            <w:rPr>
              <w:sz w:val="14"/>
              <w:szCs w:val="16"/>
            </w:rPr>
          </w:pPr>
          <w:bookmarkStart w:id="8" w:name="bmkCommittee"/>
          <w:r>
            <w:rPr>
              <w:b/>
            </w:rPr>
            <w:t>Committee on Technical Barriers to Trade</w:t>
          </w:r>
          <w:bookmarkEnd w:id="8"/>
        </w:p>
      </w:tc>
      <w:tc>
        <w:tcPr>
          <w:tcW w:w="3325" w:type="dxa"/>
          <w:tcBorders>
            <w:top w:val="single" w:color="auto" w:sz="4" w:space="0"/>
          </w:tcBorders>
          <w:tcMar>
            <w:top w:w="113" w:type="dxa"/>
            <w:left w:w="108" w:type="dxa"/>
            <w:bottom w:w="57" w:type="dxa"/>
            <w:right w:w="108" w:type="dxa"/>
          </w:tcMar>
          <w:vAlign w:val="center"/>
        </w:tcPr>
        <w:p w14:paraId="3EB5EAD1">
          <w:pPr>
            <w:jc w:val="right"/>
            <w:rPr>
              <w:bCs/>
              <w:szCs w:val="18"/>
            </w:rPr>
          </w:pPr>
          <w:bookmarkStart w:id="9" w:name="bmkLanguage"/>
          <w:r>
            <w:rPr>
              <w:bCs/>
              <w:szCs w:val="18"/>
            </w:rPr>
            <w:t xml:space="preserve">Original:  </w:t>
          </w:r>
          <w:bookmarkStart w:id="10" w:name="spsOriginalLanguage"/>
          <w:r>
            <w:rPr>
              <w:bCs/>
              <w:szCs w:val="18"/>
            </w:rPr>
            <w:t>English</w:t>
          </w:r>
          <w:bookmarkEnd w:id="9"/>
          <w:bookmarkEnd w:id="10"/>
        </w:p>
      </w:tc>
    </w:tr>
  </w:tbl>
  <w:p w14:paraId="29A46493">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BC0"/>
    <w:rsid w:val="000272F6"/>
    <w:rsid w:val="00037AC4"/>
    <w:rsid w:val="000423BF"/>
    <w:rsid w:val="00046D9E"/>
    <w:rsid w:val="000A3EFB"/>
    <w:rsid w:val="000A4945"/>
    <w:rsid w:val="000B31E1"/>
    <w:rsid w:val="00100018"/>
    <w:rsid w:val="0011356B"/>
    <w:rsid w:val="0013337F"/>
    <w:rsid w:val="00150A34"/>
    <w:rsid w:val="00173D7A"/>
    <w:rsid w:val="00181C92"/>
    <w:rsid w:val="00182B84"/>
    <w:rsid w:val="001B468E"/>
    <w:rsid w:val="001B5654"/>
    <w:rsid w:val="001B6060"/>
    <w:rsid w:val="001C5710"/>
    <w:rsid w:val="001D045F"/>
    <w:rsid w:val="001D1D8D"/>
    <w:rsid w:val="001D61A4"/>
    <w:rsid w:val="001E291F"/>
    <w:rsid w:val="00203270"/>
    <w:rsid w:val="002176BC"/>
    <w:rsid w:val="0022230B"/>
    <w:rsid w:val="00231951"/>
    <w:rsid w:val="00233408"/>
    <w:rsid w:val="0026497C"/>
    <w:rsid w:val="00267546"/>
    <w:rsid w:val="0027067B"/>
    <w:rsid w:val="0029715D"/>
    <w:rsid w:val="002B69C3"/>
    <w:rsid w:val="002C68CF"/>
    <w:rsid w:val="002D50AA"/>
    <w:rsid w:val="002F78E9"/>
    <w:rsid w:val="00300269"/>
    <w:rsid w:val="00353CB2"/>
    <w:rsid w:val="003572B4"/>
    <w:rsid w:val="003E6C00"/>
    <w:rsid w:val="003F5EEF"/>
    <w:rsid w:val="00400D4D"/>
    <w:rsid w:val="0041081F"/>
    <w:rsid w:val="00467032"/>
    <w:rsid w:val="0046754A"/>
    <w:rsid w:val="00472BE4"/>
    <w:rsid w:val="00486F72"/>
    <w:rsid w:val="004913FD"/>
    <w:rsid w:val="004B3635"/>
    <w:rsid w:val="004B48EF"/>
    <w:rsid w:val="004B69CA"/>
    <w:rsid w:val="004C341F"/>
    <w:rsid w:val="004E050B"/>
    <w:rsid w:val="004E1F98"/>
    <w:rsid w:val="004F203A"/>
    <w:rsid w:val="005336B8"/>
    <w:rsid w:val="00543B49"/>
    <w:rsid w:val="005441B3"/>
    <w:rsid w:val="00547B5F"/>
    <w:rsid w:val="005B04B9"/>
    <w:rsid w:val="005B63A3"/>
    <w:rsid w:val="005B68C7"/>
    <w:rsid w:val="005B7054"/>
    <w:rsid w:val="005B7BC0"/>
    <w:rsid w:val="005C7C63"/>
    <w:rsid w:val="005D5981"/>
    <w:rsid w:val="005E3073"/>
    <w:rsid w:val="005F30CB"/>
    <w:rsid w:val="005F4259"/>
    <w:rsid w:val="00600C85"/>
    <w:rsid w:val="00612644"/>
    <w:rsid w:val="00617604"/>
    <w:rsid w:val="0063410B"/>
    <w:rsid w:val="00646F7D"/>
    <w:rsid w:val="00674CCD"/>
    <w:rsid w:val="0069402C"/>
    <w:rsid w:val="006A3D8E"/>
    <w:rsid w:val="006A4935"/>
    <w:rsid w:val="006F5826"/>
    <w:rsid w:val="00700181"/>
    <w:rsid w:val="007141CF"/>
    <w:rsid w:val="0073780E"/>
    <w:rsid w:val="00745146"/>
    <w:rsid w:val="007458F7"/>
    <w:rsid w:val="00745C0F"/>
    <w:rsid w:val="007577E3"/>
    <w:rsid w:val="00760DB3"/>
    <w:rsid w:val="007640F2"/>
    <w:rsid w:val="00772BB5"/>
    <w:rsid w:val="00782291"/>
    <w:rsid w:val="007B7A28"/>
    <w:rsid w:val="007E6507"/>
    <w:rsid w:val="007F2B8E"/>
    <w:rsid w:val="00807247"/>
    <w:rsid w:val="00840C2B"/>
    <w:rsid w:val="00854DAF"/>
    <w:rsid w:val="008739FD"/>
    <w:rsid w:val="008751E7"/>
    <w:rsid w:val="00893E85"/>
    <w:rsid w:val="00896CE2"/>
    <w:rsid w:val="008A43B9"/>
    <w:rsid w:val="008C0973"/>
    <w:rsid w:val="008D6315"/>
    <w:rsid w:val="008E372C"/>
    <w:rsid w:val="008E74A6"/>
    <w:rsid w:val="008F6F99"/>
    <w:rsid w:val="00941DF1"/>
    <w:rsid w:val="009434D3"/>
    <w:rsid w:val="009903FC"/>
    <w:rsid w:val="009A3FA6"/>
    <w:rsid w:val="009A6F54"/>
    <w:rsid w:val="009C7DE5"/>
    <w:rsid w:val="009D0EBF"/>
    <w:rsid w:val="009D7160"/>
    <w:rsid w:val="00A14E08"/>
    <w:rsid w:val="00A6057A"/>
    <w:rsid w:val="00A74017"/>
    <w:rsid w:val="00A75DAA"/>
    <w:rsid w:val="00A83C94"/>
    <w:rsid w:val="00A94ADB"/>
    <w:rsid w:val="00A97452"/>
    <w:rsid w:val="00AA332C"/>
    <w:rsid w:val="00AC27F8"/>
    <w:rsid w:val="00AC75D9"/>
    <w:rsid w:val="00AD4C72"/>
    <w:rsid w:val="00AE2AEE"/>
    <w:rsid w:val="00B00276"/>
    <w:rsid w:val="00B107D5"/>
    <w:rsid w:val="00B2087B"/>
    <w:rsid w:val="00B226AA"/>
    <w:rsid w:val="00B230EC"/>
    <w:rsid w:val="00B30408"/>
    <w:rsid w:val="00B52738"/>
    <w:rsid w:val="00B56EDC"/>
    <w:rsid w:val="00B650D6"/>
    <w:rsid w:val="00B657DE"/>
    <w:rsid w:val="00B73EE6"/>
    <w:rsid w:val="00B80CAD"/>
    <w:rsid w:val="00BA4022"/>
    <w:rsid w:val="00BB1F84"/>
    <w:rsid w:val="00BB263B"/>
    <w:rsid w:val="00BB2BFC"/>
    <w:rsid w:val="00BE5468"/>
    <w:rsid w:val="00BF2687"/>
    <w:rsid w:val="00BF5532"/>
    <w:rsid w:val="00C02C7E"/>
    <w:rsid w:val="00C11EAC"/>
    <w:rsid w:val="00C305D7"/>
    <w:rsid w:val="00C30F2A"/>
    <w:rsid w:val="00C3606A"/>
    <w:rsid w:val="00C43456"/>
    <w:rsid w:val="00C65C0C"/>
    <w:rsid w:val="00C6752B"/>
    <w:rsid w:val="00C7247C"/>
    <w:rsid w:val="00C808FC"/>
    <w:rsid w:val="00C812EC"/>
    <w:rsid w:val="00C82B33"/>
    <w:rsid w:val="00C87936"/>
    <w:rsid w:val="00C958E9"/>
    <w:rsid w:val="00CA303A"/>
    <w:rsid w:val="00CA368D"/>
    <w:rsid w:val="00CC162F"/>
    <w:rsid w:val="00CC4BA9"/>
    <w:rsid w:val="00CD12A6"/>
    <w:rsid w:val="00CD7D97"/>
    <w:rsid w:val="00CE14AC"/>
    <w:rsid w:val="00CE3EE6"/>
    <w:rsid w:val="00CE4BA1"/>
    <w:rsid w:val="00D000C7"/>
    <w:rsid w:val="00D422FA"/>
    <w:rsid w:val="00D52A9D"/>
    <w:rsid w:val="00D55AAD"/>
    <w:rsid w:val="00D630EE"/>
    <w:rsid w:val="00D70FFA"/>
    <w:rsid w:val="00D747AE"/>
    <w:rsid w:val="00D90ADD"/>
    <w:rsid w:val="00D9226C"/>
    <w:rsid w:val="00DA0C04"/>
    <w:rsid w:val="00DA20BD"/>
    <w:rsid w:val="00DC7ACB"/>
    <w:rsid w:val="00DE50DB"/>
    <w:rsid w:val="00DF6AE1"/>
    <w:rsid w:val="00E42A3E"/>
    <w:rsid w:val="00E46FD5"/>
    <w:rsid w:val="00E544BB"/>
    <w:rsid w:val="00E56545"/>
    <w:rsid w:val="00E91874"/>
    <w:rsid w:val="00E94311"/>
    <w:rsid w:val="00E94F70"/>
    <w:rsid w:val="00EA2511"/>
    <w:rsid w:val="00EA5D4F"/>
    <w:rsid w:val="00EB6C56"/>
    <w:rsid w:val="00ED54E0"/>
    <w:rsid w:val="00EE1F8F"/>
    <w:rsid w:val="00F10043"/>
    <w:rsid w:val="00F32397"/>
    <w:rsid w:val="00F40595"/>
    <w:rsid w:val="00F4118F"/>
    <w:rsid w:val="00F4523B"/>
    <w:rsid w:val="00F636B2"/>
    <w:rsid w:val="00F66C50"/>
    <w:rsid w:val="00F72BEF"/>
    <w:rsid w:val="00F80D5C"/>
    <w:rsid w:val="00FA4309"/>
    <w:rsid w:val="00FA5EBC"/>
    <w:rsid w:val="00FD224A"/>
    <w:rsid w:val="00FE0068"/>
    <w:rsid w:val="00FF4616"/>
    <w:rsid w:val="228905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unhideWhenUsed="0" w:uiPriority="1" w:semiHidden="0" w:name="List Bullet 3"/>
    <w:lsdException w:qFormat="1" w:unhideWhenUsed="0" w:uiPriority="1" w:semiHidden="0" w:name="List Bullet 4"/>
    <w:lsdException w:qFormat="1" w:unhideWhenUsed="0" w:uiPriority="1" w:semiHidden="0" w:name="List Bullet 5"/>
    <w:lsdException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vision_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itus xmlns="http://schemas.titus.com/TitusProperties/">
  <TitusGUID xmlns="">95eb9cd1-0e25-4d33-ac13-db99e28feef4</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8C56D875-28AF-45EA-8E44-9415C2B28042}">
  <ds:schemaRefs/>
</ds:datastoreItem>
</file>

<file path=docProps/app.xml><?xml version="1.0" encoding="utf-8"?>
<Properties xmlns="http://schemas.openxmlformats.org/officeDocument/2006/extended-properties" xmlns:vt="http://schemas.openxmlformats.org/officeDocument/2006/docPropsVTypes">
  <Template>Revision_Regular_EN.dotx</Template>
  <Pages>3</Pages>
  <Words>496</Words>
  <Characters>2996</Characters>
  <Lines>29</Lines>
  <Paragraphs>8</Paragraphs>
  <TotalTime>0</TotalTime>
  <ScaleCrop>false</ScaleCrop>
  <LinksUpToDate>false</LinksUpToDate>
  <CharactersWithSpaces>3437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2024-08-13T08:58:00Z</dcterms:created>
  <dc:description>LDIMD - DTU</dc:description>
  <dcterms:modified xsi:type="dcterms:W3CDTF">2025-07-31T14:03:20Z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95eb9cd1-0e25-4d33-ac13-db99e28feef4</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B84342494C41456D95CABC21788412E6_12</vt:lpwstr>
  </property>
</Properties>
</file>