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8D9F78E" w14:textId="77777777">
      <w:pPr>
        <w:pStyle w:val="Title"/>
      </w:pPr>
      <w:r w:rsidRPr="002F663C">
        <w:t>NOTIFICATION</w:t>
      </w:r>
    </w:p>
    <w:p w:rsidR="002F663C" w:rsidRPr="002F663C" w:rsidP="00DD3DD7" w14:paraId="7CFAC438" w14:textId="77777777">
      <w:pPr>
        <w:pStyle w:val="Title3"/>
      </w:pPr>
      <w:r w:rsidRPr="002F663C">
        <w:t>Addendum</w:t>
      </w:r>
    </w:p>
    <w:p w:rsidR="002F663C" w:rsidP="001E2E4A" w14:paraId="3B469D0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30 July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1F037CD9" w14:textId="77777777">
      <w:pPr>
        <w:rPr>
          <w:rFonts w:eastAsia="Calibri" w:cs="Times New Roman"/>
        </w:rPr>
      </w:pPr>
    </w:p>
    <w:p w:rsidR="002F663C" w:rsidRPr="002F663C" w:rsidP="002F663C" w14:paraId="63D9601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548CC65" w14:textId="77777777">
      <w:pPr>
        <w:rPr>
          <w:rFonts w:eastAsia="Calibri" w:cs="Times New Roman"/>
        </w:rPr>
      </w:pPr>
    </w:p>
    <w:p w:rsidR="00C14444" w:rsidRPr="002F663C" w:rsidP="002F663C" w14:paraId="74D5F756" w14:textId="77777777">
      <w:pPr>
        <w:rPr>
          <w:rFonts w:eastAsia="Calibri" w:cs="Times New Roman"/>
        </w:rPr>
      </w:pPr>
    </w:p>
    <w:p w:rsidR="002F663C" w:rsidRPr="002F663C" w:rsidP="002F663C" w14:paraId="4F7E845E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Reliability Standards for Frequency and Voltage Protection </w:t>
      </w:r>
      <w:r w:rsidRPr="00022513">
        <w:rPr>
          <w:rFonts w:eastAsia="Calibri" w:cs="Times New Roman"/>
          <w:bCs/>
          <w:szCs w:val="18"/>
        </w:rPr>
        <w:t>Settings and Ride-Through for Inverter-Based Resources</w:t>
      </w:r>
    </w:p>
    <w:p w:rsidR="002F663C" w:rsidRPr="002F663C" w:rsidP="002F663C" w14:paraId="43A8FA2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1EEC72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4920C4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1582E8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05B139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10A407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D01329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EFE09A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2C5E57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C4A9B3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1FDB5D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D352EA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29 July 2025</w:t>
            </w:r>
          </w:p>
        </w:tc>
      </w:tr>
      <w:tr w14:paraId="7F03D05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530D3A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D34D60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28 August 2025</w:t>
            </w:r>
          </w:p>
        </w:tc>
      </w:tr>
      <w:tr w14:paraId="57C5303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05D695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A9FC5B7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4E70C869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https://members.wto.org/crnattachments/2025/TBT/USA/final_measure/25_05057_00_e.pdf</w:t>
              </w:r>
            </w:hyperlink>
          </w:p>
        </w:tc>
      </w:tr>
      <w:tr w14:paraId="3E31818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2D6D60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6DD27D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D4EAC3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B3A351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C43508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D74B97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1FABD3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0AE4A6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314414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5B17F2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4086C9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7968E4D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481F4E3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23BE50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ECE32A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Federal Energy Regulatory Commission (Commission) approves proposed Reliability Standard PRC-024-4 </w:t>
      </w:r>
      <w:r w:rsidRPr="002F663C">
        <w:rPr>
          <w:rFonts w:eastAsia="Calibri" w:cs="Times New Roman"/>
          <w:szCs w:val="18"/>
        </w:rPr>
        <w:t>(Frequency and Voltage Protection Settings for Synchronous Generators, Type 1 and Type 2 Wind Resources, and Synchronous Condensers), Reliability Standard PRC-029-1 (Frequency and Voltage Ride-through Requirements for Inverter-Based Resources), and a definition of ''Ride-through,'' which the North American Electric Reliability Corporation (NERC) submitted in response to a Commission directive. In addition, the Commission directs NERC to clarify documentation requirements for legacy equipment needed to suppo</w:t>
      </w:r>
      <w:r w:rsidRPr="002F663C">
        <w:rPr>
          <w:rFonts w:eastAsia="Calibri" w:cs="Times New Roman"/>
          <w:szCs w:val="18"/>
        </w:rPr>
        <w:t>rt an exemption request pursuant to Reliability Standard PRC-029- 1; to consider whether, and if so how, to address a total of two exception- and exemption-related issues raised by commenters; and to submit an informational filing that assesses the reliability impact of the exemptions to Reliability Standard PRC-029-1.</w:t>
      </w:r>
    </w:p>
    <w:p w:rsidR="0093089D" w:rsidRPr="002F663C" w:rsidP="00B16ACF" w14:paraId="577A2D3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rule is effective 28 August 2025.</w:t>
      </w:r>
    </w:p>
    <w:p w:rsidR="0093089D" w:rsidRPr="002F663C" w:rsidP="00B16ACF" w14:paraId="0524EA0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35599, 29 July 2025;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18 Code of Federal Regulations (CFR) Part 40</w:t>
        </w:r>
      </w:hyperlink>
      <w:r w:rsidRPr="002F663C">
        <w:rPr>
          <w:rFonts w:eastAsia="Calibri" w:cs="Times New Roman"/>
          <w:szCs w:val="18"/>
        </w:rPr>
        <w:t>:</w:t>
      </w:r>
    </w:p>
    <w:p w:rsidR="0093089D" w:rsidRPr="002F663C" w:rsidP="00B16ACF" w14:paraId="7432C29E" w14:textId="77777777">
      <w:pPr>
        <w:spacing w:before="120" w:after="120"/>
        <w:rPr>
          <w:rFonts w:eastAsia="Calibri" w:cs="Times New Roman"/>
          <w:szCs w:val="18"/>
        </w:rPr>
      </w:pP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https://www.govinfo.gov/content/pkg/FR-2025-07-29/html/2025-14304.htm</w:t>
        </w:r>
      </w:hyperlink>
    </w:p>
    <w:p w:rsidR="0093089D" w:rsidRPr="002F663C" w:rsidP="00B16ACF" w14:paraId="5A610A74" w14:textId="77777777">
      <w:pPr>
        <w:spacing w:before="120" w:after="120"/>
        <w:rPr>
          <w:rFonts w:eastAsia="Calibri" w:cs="Times New Roman"/>
          <w:szCs w:val="18"/>
        </w:rPr>
      </w:pP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https://www.govinfo.gov/content/pkg/FR-2025-07-29/pdf/2025-14304.pdf</w:t>
        </w:r>
      </w:hyperlink>
    </w:p>
    <w:p w:rsidR="006C5A96" w:rsidP="006C5A96" w14:paraId="57DAE31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3462F11" w14:textId="77777777">
      <w:pPr>
        <w:jc w:val="center"/>
        <w:rPr>
          <w:b/>
        </w:rPr>
      </w:pPr>
    </w:p>
    <w:p w:rsidR="00A1565D" w:rsidP="003971FF" w14:paraId="36884684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749510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B924AB1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0ECD1B5" w14:textId="77777777">
      <w:r>
        <w:separator/>
      </w:r>
    </w:p>
  </w:footnote>
  <w:footnote w:type="continuationSeparator" w:id="1">
    <w:p w:rsidR="004D3A6A" w:rsidP="00ED54E0" w14:paraId="5BE9ACC4" w14:textId="77777777">
      <w:r>
        <w:continuationSeparator/>
      </w:r>
    </w:p>
  </w:footnote>
  <w:footnote w:id="2">
    <w:p w:rsidR="007F6EA2" w14:paraId="7701486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927B7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3B4A7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49C80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305282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94361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G/TBT/N/USA/2186/Add.1</w:t>
    </w:r>
    <w:bookmarkEnd w:id="3"/>
  </w:p>
  <w:p w:rsidR="00DD3DD7" w:rsidRPr="00DD3DD7" w:rsidP="00DD3DD7" w14:paraId="78FB0D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2426D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97EEE9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176ED8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9F954F6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D3D3DC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CA0928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A833AC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7727287" w14:textId="77777777">
          <w:pPr>
            <w:jc w:val="right"/>
            <w:rPr>
              <w:b/>
              <w:szCs w:val="16"/>
            </w:rPr>
          </w:pPr>
        </w:p>
      </w:tc>
    </w:tr>
    <w:tr w14:paraId="48453DE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72193E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E3365A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G/TBT/N/USA/2186/Add.1</w:t>
          </w:r>
          <w:bookmarkEnd w:id="4"/>
        </w:p>
        <w:p w:rsidR="00C14444" w:rsidRPr="00C14444" w:rsidP="00C14444" w14:paraId="04D05B25" w14:textId="77777777">
          <w:pPr>
            <w:jc w:val="center"/>
            <w:rPr>
              <w:szCs w:val="16"/>
            </w:rPr>
          </w:pPr>
        </w:p>
      </w:tc>
    </w:tr>
    <w:tr w14:paraId="5F4D4DC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363DDB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93DB4C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30 July 2025</w:t>
          </w:r>
          <w:bookmarkEnd w:id="5"/>
        </w:p>
      </w:tc>
    </w:tr>
    <w:tr w14:paraId="65A4F32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3AE6F97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(25-4921)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5FBBD9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0D4FAA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410892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969F47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5A1E9E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7369479">
    <w:abstractNumId w:val="9"/>
  </w:num>
  <w:num w:numId="2" w16cid:durableId="775708704">
    <w:abstractNumId w:val="7"/>
  </w:num>
  <w:num w:numId="3" w16cid:durableId="688071399">
    <w:abstractNumId w:val="6"/>
  </w:num>
  <w:num w:numId="4" w16cid:durableId="2033220922">
    <w:abstractNumId w:val="5"/>
  </w:num>
  <w:num w:numId="5" w16cid:durableId="1438670063">
    <w:abstractNumId w:val="4"/>
  </w:num>
  <w:num w:numId="6" w16cid:durableId="1230846293">
    <w:abstractNumId w:val="12"/>
  </w:num>
  <w:num w:numId="7" w16cid:durableId="1928886028">
    <w:abstractNumId w:val="11"/>
  </w:num>
  <w:num w:numId="8" w16cid:durableId="699015515">
    <w:abstractNumId w:val="10"/>
  </w:num>
  <w:num w:numId="9" w16cid:durableId="6345293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71077937">
    <w:abstractNumId w:val="13"/>
  </w:num>
  <w:num w:numId="11" w16cid:durableId="814102466">
    <w:abstractNumId w:val="8"/>
  </w:num>
  <w:num w:numId="12" w16cid:durableId="1771925956">
    <w:abstractNumId w:val="3"/>
  </w:num>
  <w:num w:numId="13" w16cid:durableId="1267301137">
    <w:abstractNumId w:val="2"/>
  </w:num>
  <w:num w:numId="14" w16cid:durableId="866259223">
    <w:abstractNumId w:val="1"/>
  </w:num>
  <w:num w:numId="15" w16cid:durableId="441924539">
    <w:abstractNumId w:val="0"/>
  </w:num>
  <w:num w:numId="16" w16cid:durableId="43124671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3089D"/>
    <w:rsid w:val="009919A3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66210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E777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USA/final_measure/25_05057_00_e.pdf" TargetMode="External" /><Relationship Id="rId7" Type="http://schemas.openxmlformats.org/officeDocument/2006/relationships/hyperlink" Target="https://www.ecfr.gov/current/title-18/chapter-I/subchapter-B/part-40" TargetMode="External" /><Relationship Id="rId8" Type="http://schemas.openxmlformats.org/officeDocument/2006/relationships/hyperlink" Target="https://www.govinfo.gov/content/pkg/FR-2025-07-29/html/2025-14304.htm" TargetMode="External" /><Relationship Id="rId9" Type="http://schemas.openxmlformats.org/officeDocument/2006/relationships/hyperlink" Target="https://www.govinfo.gov/content/pkg/FR-2025-07-29/pdf/2025-14304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2025-07-30T08:30:00Z</dcterms:created>
  <dcterms:modified xsi:type="dcterms:W3CDTF">2025-07-30T08:30:00Z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