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302DB">
      <w:pPr>
        <w:pStyle w:val="84"/>
        <w:rPr>
          <w:caps w:val="0"/>
          <w:kern w:val="0"/>
        </w:rPr>
      </w:pPr>
      <w:r>
        <w:rPr>
          <w:caps w:val="0"/>
          <w:kern w:val="0"/>
        </w:rPr>
        <w:t>NOTIFICATION</w:t>
      </w:r>
    </w:p>
    <w:p w14:paraId="72718863">
      <w:pPr>
        <w:jc w:val="center"/>
      </w:pPr>
      <w:r>
        <w:t>The following notification is being circulated in accordance with Article 10.6</w:t>
      </w:r>
    </w:p>
    <w:p w14:paraId="088A2F7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B3BC8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84C62B7">
            <w:pPr>
              <w:spacing w:before="120" w:after="120"/>
              <w:jc w:val="left"/>
            </w:pPr>
            <w:r>
              <w:rPr>
                <w:b/>
              </w:rPr>
              <w:t>1.</w:t>
            </w:r>
          </w:p>
        </w:tc>
        <w:tc>
          <w:tcPr>
            <w:tcW w:w="8546" w:type="dxa"/>
            <w:tcBorders>
              <w:bottom w:val="single" w:color="auto" w:sz="6" w:space="0"/>
            </w:tcBorders>
            <w:shd w:val="clear" w:color="auto" w:fill="auto"/>
          </w:tcPr>
          <w:p w14:paraId="6573E8EF">
            <w:pPr>
              <w:spacing w:before="120" w:after="120"/>
            </w:pPr>
            <w:r>
              <w:rPr>
                <w:b/>
              </w:rPr>
              <w:t>Notifying Member:</w:t>
            </w:r>
            <w:r>
              <w:t xml:space="preserve"> </w:t>
            </w:r>
            <w:r>
              <w:rPr>
                <w:u w:val="single"/>
              </w:rPr>
              <w:t>UKRAINE</w:t>
            </w:r>
          </w:p>
          <w:p w14:paraId="2ABC0C97">
            <w:pPr>
              <w:spacing w:after="120"/>
            </w:pPr>
            <w:r>
              <w:rPr>
                <w:b/>
              </w:rPr>
              <w:t>If applicable, name of local government involved (Article 3.2 and 7.2):</w:t>
            </w:r>
            <w:r>
              <w:t xml:space="preserve"> </w:t>
            </w:r>
          </w:p>
        </w:tc>
      </w:tr>
      <w:tr w14:paraId="71B870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8EB486">
            <w:pPr>
              <w:spacing w:before="120" w:after="120"/>
              <w:jc w:val="left"/>
            </w:pPr>
            <w:r>
              <w:rPr>
                <w:b/>
              </w:rPr>
              <w:t>2.</w:t>
            </w:r>
          </w:p>
        </w:tc>
        <w:tc>
          <w:tcPr>
            <w:tcW w:w="8546" w:type="dxa"/>
            <w:tcBorders>
              <w:top w:val="single" w:color="auto" w:sz="6" w:space="0"/>
              <w:bottom w:val="single" w:color="auto" w:sz="6" w:space="0"/>
            </w:tcBorders>
            <w:shd w:val="clear" w:color="auto" w:fill="auto"/>
          </w:tcPr>
          <w:p w14:paraId="70B02F13">
            <w:pPr>
              <w:spacing w:before="120" w:after="120"/>
            </w:pPr>
            <w:r>
              <w:rPr>
                <w:b/>
              </w:rPr>
              <w:t>Agency responsible:</w:t>
            </w:r>
            <w:r>
              <w:t xml:space="preserve"> </w:t>
            </w:r>
          </w:p>
          <w:p w14:paraId="320AE729">
            <w:pPr>
              <w:spacing w:after="120"/>
            </w:pPr>
            <w:r>
              <w:t>Ministry of Health of Ukraine</w:t>
            </w:r>
          </w:p>
          <w:p w14:paraId="6752E2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87CD56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B3ACA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6F2B7AA">
            <w:pPr>
              <w:spacing w:before="120" w:after="120"/>
            </w:pPr>
            <w:r>
              <w:rPr>
                <w:b/>
              </w:rPr>
              <w:t>Notified under Article 2.9.2 [X], 2.10.1 [ ], 5.6.2 [X], 5.7.1 [ ], 3.2 [ ], 7.2 [ ], other:</w:t>
            </w:r>
            <w:r>
              <w:t xml:space="preserve"> </w:t>
            </w:r>
          </w:p>
        </w:tc>
      </w:tr>
      <w:tr w14:paraId="02404F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814297D">
            <w:pPr>
              <w:spacing w:before="120" w:after="120"/>
              <w:jc w:val="left"/>
            </w:pPr>
            <w:r>
              <w:rPr>
                <w:b/>
              </w:rPr>
              <w:t>4.</w:t>
            </w:r>
          </w:p>
        </w:tc>
        <w:tc>
          <w:tcPr>
            <w:tcW w:w="8546" w:type="dxa"/>
            <w:tcBorders>
              <w:top w:val="single" w:color="auto" w:sz="6" w:space="0"/>
              <w:bottom w:val="single" w:color="auto" w:sz="6" w:space="0"/>
            </w:tcBorders>
            <w:shd w:val="clear" w:color="auto" w:fill="auto"/>
          </w:tcPr>
          <w:p w14:paraId="58885C0D">
            <w:pPr>
              <w:spacing w:before="120" w:after="120"/>
            </w:pPr>
            <w:r>
              <w:rPr>
                <w:b/>
              </w:rPr>
              <w:t>Products covered (HS or CCCN where applicable, otherwise national tariff heading. ICS numbers may be provided in addition, where applicable):</w:t>
            </w:r>
            <w:r>
              <w:t xml:space="preserve"> Medicines</w:t>
            </w:r>
          </w:p>
        </w:tc>
      </w:tr>
      <w:tr w14:paraId="49BCEA3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5172F">
            <w:pPr>
              <w:spacing w:before="120" w:after="120"/>
              <w:jc w:val="left"/>
            </w:pPr>
            <w:r>
              <w:rPr>
                <w:b/>
              </w:rPr>
              <w:t>5.</w:t>
            </w:r>
          </w:p>
        </w:tc>
        <w:tc>
          <w:tcPr>
            <w:tcW w:w="8546" w:type="dxa"/>
            <w:tcBorders>
              <w:top w:val="single" w:color="auto" w:sz="6" w:space="0"/>
              <w:bottom w:val="single" w:color="auto" w:sz="6" w:space="0"/>
            </w:tcBorders>
            <w:shd w:val="clear" w:color="auto" w:fill="auto"/>
          </w:tcPr>
          <w:p w14:paraId="33F6618F">
            <w:pPr>
              <w:spacing w:before="120" w:after="120"/>
            </w:pPr>
            <w:r>
              <w:rPr>
                <w:b/>
              </w:rPr>
              <w:t>Title, number of pages and language(s) of the notified document:</w:t>
            </w:r>
            <w:r>
              <w:t xml:space="preserve"> Resolution of the Cabinet of Ministers of Ukraine No. 901 "Some Issues of Maintenance and Functioning of the State Registers in the Sphere of Medicines" of 16 July 2025; (23 page(s), in Ukrainian)</w:t>
            </w:r>
          </w:p>
        </w:tc>
      </w:tr>
      <w:tr w14:paraId="6FFDC88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F734741">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40CC39C3">
            <w:pPr>
              <w:spacing w:before="120" w:after="120"/>
              <w:rPr>
                <w:b/>
              </w:rPr>
            </w:pPr>
            <w:r>
              <w:rPr>
                <w:b/>
              </w:rPr>
              <w:t>Description of content:</w:t>
            </w:r>
            <w:r>
              <w:t xml:space="preserve"> The Resolution has been adopted to implement the provisions of the Law of Ukraine No. 2469 "On Medicines" of 28 July 2022 and the Law of Ukraine No. 3860 "On Amendments to Certain Laws of Ukraine on Parallel Import of Medicine" of 16 July 2024, which provide for the approval of the following procedures:</w:t>
            </w:r>
          </w:p>
          <w:p w14:paraId="340B2D5F">
            <w:pPr>
              <w:spacing w:before="120" w:after="120"/>
            </w:pPr>
            <w:r>
              <w:t>- Procedure for maintaining the State Register of medicines;</w:t>
            </w:r>
          </w:p>
          <w:p w14:paraId="3FD4FD3F">
            <w:pPr>
              <w:spacing w:before="120" w:after="120"/>
            </w:pPr>
            <w:r>
              <w:t>- Procedure for maintaining the State Register of medicines imported into the territory of Ukraine as parallel import;</w:t>
            </w:r>
          </w:p>
          <w:p w14:paraId="4B602494">
            <w:pPr>
              <w:spacing w:before="120" w:after="120"/>
            </w:pPr>
            <w:r>
              <w:t>- Procedure for maintaining the State Register of medicines placed on the market that are imported into the territory of Ukraine.</w:t>
            </w:r>
          </w:p>
          <w:p w14:paraId="3FA095C6">
            <w:pPr>
              <w:spacing w:before="120" w:after="120"/>
            </w:pPr>
            <w:r>
              <w:t>Prior to the entry into force of the Law of Ukraine No. 2469 "On Medicines" the Procedure for maintaining the State Register of medicines placed on the market that are imported into the territory of Ukraine shall apply to medicines imported as parallel import by licensed parallel importers. Following the entry into force of the Law, this Procedure will apply to medicines specified in paragraphs 1 and 2 of part one of Article 73 of the Law.</w:t>
            </w:r>
          </w:p>
          <w:p w14:paraId="7D04BFD2">
            <w:pPr>
              <w:spacing w:before="120" w:after="120"/>
            </w:pPr>
            <w:r>
              <w:t>The State Register of medicines imported as parallel import and the State Register of medicines placed on the market that are imported into Ukraine will become operational after their official launch by the Ministry of Health of Ukraine.</w:t>
            </w:r>
          </w:p>
          <w:p w14:paraId="4E8A6CED">
            <w:pPr>
              <w:spacing w:before="120" w:after="120"/>
            </w:pPr>
            <w:r>
              <w:t>Until the establishment of a central executive authority with special status responsible for the authorisation, market entry and control over the quality, safety, and efficacy of medicines, these functions will be carried out by the State Service of Ukraine on Medicines and Drugs Control.</w:t>
            </w:r>
          </w:p>
          <w:p w14:paraId="3024E435">
            <w:pPr>
              <w:spacing w:before="120" w:after="120"/>
            </w:pPr>
            <w:r>
              <w:t>Until the above-mentioned registers are fully operational, information on medicines imported as parallel import, including information of issued parallel import permits, will be maintained in electronic form and published on the official website of the State Service of Ukraine on Medicines and Drugs Control under the "State Registers" subsection.</w:t>
            </w:r>
          </w:p>
          <w:p w14:paraId="15D36F6E">
            <w:pPr>
              <w:spacing w:before="120" w:after="120"/>
            </w:pPr>
            <w:r>
              <w:t>Business entities holding a parallel import permit shall submit information notice to ensure the inclusion of relevant information in the register.</w:t>
            </w:r>
          </w:p>
          <w:p w14:paraId="30EC1025">
            <w:pPr>
              <w:spacing w:before="120" w:after="120"/>
            </w:pPr>
            <w:r>
              <w:t>To confirm the issuance of a parallel import permit, the State Service of Ukraine on Medicines and Drugs Control shall provide the business entity with a certified copy of the corresponding order.</w:t>
            </w:r>
          </w:p>
        </w:tc>
      </w:tr>
      <w:tr w14:paraId="1B0692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601D13B">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4B2A7">
            <w:pPr>
              <w:spacing w:before="120" w:after="120"/>
              <w:rPr>
                <w:b/>
              </w:rPr>
            </w:pPr>
            <w:r>
              <w:rPr>
                <w:b/>
              </w:rPr>
              <w:t>Objective and rationale, including the nature of urgent problems where applicable:</w:t>
            </w:r>
            <w:r>
              <w:t xml:space="preserve"> Prevention of deceptive practices and consumer protection; Protection of human health or safety</w:t>
            </w:r>
          </w:p>
        </w:tc>
      </w:tr>
      <w:tr w14:paraId="1E6FCA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61BE1F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A36B5D8">
            <w:pPr>
              <w:spacing w:before="120" w:after="120"/>
              <w:rPr>
                <w:bCs/>
              </w:rPr>
            </w:pPr>
            <w:r>
              <w:rPr>
                <w:b/>
              </w:rPr>
              <w:t>Relevant documents:</w:t>
            </w:r>
            <w:r>
              <w:t xml:space="preserve"> </w:t>
            </w:r>
          </w:p>
          <w:p w14:paraId="08F355AD">
            <w:pPr>
              <w:spacing w:before="120" w:after="120"/>
            </w:pPr>
            <w:r>
              <w:t>Law of Ukraine No. 2469-IX "On Medicines" of 28 July 2022;</w:t>
            </w:r>
          </w:p>
          <w:p w14:paraId="2989C833">
            <w:pPr>
              <w:spacing w:before="120" w:after="120"/>
            </w:pPr>
            <w:r>
              <w:t>Law of Ukraine No. 3860-IX "On Amendments to Certain Laws of Ukraine on Parallel Import of Medicines" of 16 July 2024.</w:t>
            </w:r>
          </w:p>
          <w:p w14:paraId="4FD1A418">
            <w:pPr>
              <w:spacing w:before="120" w:after="120"/>
            </w:pPr>
            <w:r>
              <w:rPr>
                <w:b/>
                <w:bCs/>
              </w:rPr>
              <w:t>Relevant notifications:</w:t>
            </w:r>
          </w:p>
          <w:p w14:paraId="748772B7">
            <w:pPr>
              <w:numPr>
                <w:ilvl w:val="0"/>
                <w:numId w:val="7"/>
              </w:numPr>
              <w:spacing w:before="120" w:after="120"/>
              <w:ind w:left="720" w:leftChars="0" w:hanging="360" w:firstLineChars="0"/>
            </w:pPr>
            <w:r>
              <w:fldChar w:fldCharType="begin"/>
            </w:r>
            <w:r>
              <w:instrText xml:space="preserve"> HYPERLINK "https://eping.wto.org/en/Search/Index?viewData=G/TBT/N/UKR/301" </w:instrText>
            </w:r>
            <w:r>
              <w:fldChar w:fldCharType="separate"/>
            </w:r>
            <w:r>
              <w:rPr>
                <w:color w:val="0000FF"/>
                <w:u w:val="single"/>
              </w:rPr>
              <w:t>G/TBT/N/UKR/301</w:t>
            </w:r>
            <w:r>
              <w:rPr>
                <w:color w:val="0000FF"/>
                <w:u w:val="single"/>
              </w:rPr>
              <w:fldChar w:fldCharType="end"/>
            </w:r>
          </w:p>
        </w:tc>
      </w:tr>
      <w:tr w14:paraId="0B7F05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1A53E6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B5E0638">
            <w:pPr>
              <w:spacing w:before="120" w:after="120"/>
            </w:pPr>
            <w:r>
              <w:rPr>
                <w:b/>
              </w:rPr>
              <w:t>Proposed date of adoption:</w:t>
            </w:r>
            <w:r>
              <w:t xml:space="preserve"> 16 July 2025</w:t>
            </w:r>
          </w:p>
          <w:p w14:paraId="6EB918E1">
            <w:pPr>
              <w:spacing w:after="120"/>
            </w:pPr>
            <w:r>
              <w:rPr>
                <w:b/>
              </w:rPr>
              <w:t>Proposed date of entry into force:</w:t>
            </w:r>
            <w:r>
              <w:t xml:space="preserve"> 25 July 2025; This Resolution entered into force on 25 July 2025, except for the second paragraph of clause 1, clause 4 of this Resolution, the second paragraph of clause 15 of the Procedure for maintaining the State Register of medicines placed on the market that are imported into the territory of Ukraine, approved by this Resolution, which shall enter into force simultaneously with the enactment of the Law of Ukraine of 28 July 2022 No. 2469 "On Medicines", i.e. on 01 January 2027.</w:t>
            </w:r>
          </w:p>
        </w:tc>
      </w:tr>
      <w:tr w14:paraId="1C5565B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0D24A5">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FB596A6">
            <w:pPr>
              <w:spacing w:before="120" w:after="120"/>
              <w:rPr>
                <w:bCs/>
              </w:rPr>
            </w:pPr>
            <w:r>
              <w:rPr>
                <w:b/>
              </w:rPr>
              <w:t>Final date for comments:</w:t>
            </w:r>
            <w:r>
              <w:t xml:space="preserve"> 28 September 2025</w:t>
            </w:r>
          </w:p>
          <w:p w14:paraId="74615763">
            <w:pPr>
              <w:tabs>
                <w:tab w:val="left" w:pos="1418"/>
                <w:tab w:val="left" w:pos="2127"/>
                <w:tab w:val="left" w:pos="2835"/>
                <w:tab w:val="left" w:pos="3402"/>
              </w:tabs>
              <w:spacing w:before="120" w:after="120"/>
              <w:rPr>
                <w:b/>
                <w:bCs/>
              </w:rPr>
            </w:pPr>
            <w:r>
              <w:rPr>
                <w:b/>
                <w:bCs/>
              </w:rPr>
              <w:t>[X] 60 days from notification</w:t>
            </w:r>
            <w:r>
              <w:t xml:space="preserve"> </w:t>
            </w:r>
          </w:p>
          <w:p w14:paraId="55625F2F">
            <w:pPr>
              <w:spacing w:before="120" w:after="120"/>
            </w:pPr>
            <w:r>
              <w:rPr>
                <w:b/>
                <w:bCs/>
              </w:rPr>
              <w:t>Contact details of agency or authority designated to handle comments regarding the notification:</w:t>
            </w:r>
            <w:r>
              <w:t xml:space="preserve"> </w:t>
            </w:r>
          </w:p>
          <w:p w14:paraId="52DB8FB9">
            <w:r>
              <w:t>Ministry of Economy of Ukraine</w:t>
            </w:r>
          </w:p>
          <w:p w14:paraId="4C257F9A">
            <w:r>
              <w:t>Department for Trade Agreements</w:t>
            </w:r>
          </w:p>
          <w:p w14:paraId="559D1727">
            <w:r>
              <w:t>12/2 Hrushevskoho Str.</w:t>
            </w:r>
          </w:p>
          <w:p w14:paraId="068E15B4">
            <w:r>
              <w:t>Kyiv 01008</w:t>
            </w:r>
          </w:p>
          <w:p w14:paraId="13E34866">
            <w:r>
              <w:t>Tel: +(38 044) 596 6839</w:t>
            </w:r>
          </w:p>
          <w:p w14:paraId="115D38C4">
            <w:r>
              <w:t xml:space="preserve">Email: </w:t>
            </w:r>
            <w:r>
              <w:fldChar w:fldCharType="begin"/>
            </w:r>
            <w:r>
              <w:instrText xml:space="preserve"> HYPERLINK "mailto:ep@me.gov.ua" </w:instrText>
            </w:r>
            <w:r>
              <w:fldChar w:fldCharType="separate"/>
            </w:r>
            <w:r>
              <w:rPr>
                <w:color w:val="0000FF"/>
                <w:u w:val="single"/>
              </w:rPr>
              <w:t>ep@me.gov.ua</w:t>
            </w:r>
            <w:r>
              <w:rPr>
                <w:color w:val="0000FF"/>
                <w:u w:val="single"/>
              </w:rPr>
              <w:fldChar w:fldCharType="end"/>
            </w:r>
          </w:p>
          <w:p w14:paraId="65A66542">
            <w:pPr>
              <w:spacing w:before="120" w:after="120"/>
            </w:pPr>
            <w:r>
              <w:t xml:space="preserve">Website: </w:t>
            </w:r>
            <w:r>
              <w:fldChar w:fldCharType="begin"/>
            </w:r>
            <w:r>
              <w:instrText xml:space="preserve"> HYPERLINK "https://www.me.gov.ua" \t "_blank" </w:instrText>
            </w:r>
            <w:r>
              <w:fldChar w:fldCharType="separate"/>
            </w:r>
            <w:r>
              <w:rPr>
                <w:color w:val="0000FF"/>
                <w:u w:val="single"/>
              </w:rPr>
              <w:t>https://www.me.gov.ua</w:t>
            </w:r>
            <w:r>
              <w:rPr>
                <w:color w:val="0000FF"/>
                <w:u w:val="single"/>
              </w:rPr>
              <w:fldChar w:fldCharType="end"/>
            </w:r>
            <w:bookmarkStart w:id="10" w:name="_GoBack"/>
            <w:bookmarkEnd w:id="10"/>
          </w:p>
        </w:tc>
      </w:tr>
      <w:tr w14:paraId="7D362E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32B3DCD">
            <w:pPr>
              <w:keepNext/>
              <w:keepLines/>
              <w:spacing w:before="120" w:after="120"/>
              <w:jc w:val="left"/>
              <w:rPr>
                <w:b/>
              </w:rPr>
            </w:pPr>
            <w:r>
              <w:rPr>
                <w:b/>
              </w:rPr>
              <w:t>11.</w:t>
            </w:r>
          </w:p>
        </w:tc>
        <w:tc>
          <w:tcPr>
            <w:tcW w:w="8546" w:type="dxa"/>
            <w:tcBorders>
              <w:top w:val="single" w:color="auto" w:sz="6" w:space="0"/>
            </w:tcBorders>
            <w:shd w:val="clear" w:color="auto" w:fill="auto"/>
          </w:tcPr>
          <w:p w14:paraId="0458D3F0">
            <w:pPr>
              <w:keepNext/>
              <w:keepLines/>
              <w:spacing w:before="120" w:after="120"/>
              <w:rPr>
                <w:bCs/>
              </w:rPr>
            </w:pPr>
            <w:r>
              <w:rPr>
                <w:b/>
              </w:rPr>
              <w:t>Texts available from: National enquiry point [X] or address, telephone and fax numbers and email and website addresses, if available, of other body:</w:t>
            </w:r>
            <w:r>
              <w:rPr>
                <w:bCs/>
              </w:rPr>
              <w:t xml:space="preserve"> </w:t>
            </w:r>
          </w:p>
          <w:p w14:paraId="10A1F2FE">
            <w:pPr>
              <w:rPr>
                <w:iCs/>
              </w:rPr>
            </w:pPr>
            <w:r>
              <w:rPr>
                <w:iCs/>
              </w:rPr>
              <w:t>Ministry of Economy of Ukraine</w:t>
            </w:r>
          </w:p>
          <w:p w14:paraId="2FF3C235">
            <w:pPr>
              <w:rPr>
                <w:iCs/>
              </w:rPr>
            </w:pPr>
            <w:r>
              <w:rPr>
                <w:iCs/>
              </w:rPr>
              <w:t>Department for Trade Agreements</w:t>
            </w:r>
          </w:p>
          <w:p w14:paraId="356E2D1E">
            <w:pPr>
              <w:rPr>
                <w:iCs/>
              </w:rPr>
            </w:pPr>
            <w:r>
              <w:rPr>
                <w:iCs/>
              </w:rPr>
              <w:t>12/2 Hrushevskoho Str.</w:t>
            </w:r>
          </w:p>
          <w:p w14:paraId="5EC5A4C6">
            <w:pPr>
              <w:rPr>
                <w:iCs/>
              </w:rPr>
            </w:pPr>
            <w:r>
              <w:rPr>
                <w:iCs/>
              </w:rPr>
              <w:t>Kyiv 01008</w:t>
            </w:r>
          </w:p>
          <w:p w14:paraId="5F4F27B4">
            <w:pPr>
              <w:rPr>
                <w:iCs/>
              </w:rPr>
            </w:pPr>
            <w:r>
              <w:rPr>
                <w:iCs/>
              </w:rPr>
              <w:t>Tel: +(38 044) 596 6839</w:t>
            </w:r>
          </w:p>
          <w:p w14:paraId="7AB3142E">
            <w:pPr>
              <w:rPr>
                <w:iCs/>
              </w:rPr>
            </w:pPr>
            <w:r>
              <w:rPr>
                <w:iCs/>
              </w:rPr>
              <w:t xml:space="preserve">Email: </w:t>
            </w:r>
            <w:r>
              <w:fldChar w:fldCharType="begin"/>
            </w:r>
            <w:r>
              <w:instrText xml:space="preserve"> HYPERLINK "mailto:ep@me.gov.ua" </w:instrText>
            </w:r>
            <w:r>
              <w:fldChar w:fldCharType="separate"/>
            </w:r>
            <w:r>
              <w:rPr>
                <w:iCs/>
                <w:color w:val="0000FF"/>
                <w:u w:val="single"/>
              </w:rPr>
              <w:t>ep@me.gov.ua</w:t>
            </w:r>
            <w:r>
              <w:rPr>
                <w:iCs/>
                <w:color w:val="0000FF"/>
                <w:u w:val="single"/>
              </w:rPr>
              <w:fldChar w:fldCharType="end"/>
            </w:r>
          </w:p>
          <w:p w14:paraId="64F8627B">
            <w:pPr>
              <w:keepNext/>
              <w:keepLines/>
              <w:spacing w:before="120" w:after="120"/>
              <w:rPr>
                <w:iCs/>
                <w:color w:val="0000FF"/>
                <w:u w:val="single"/>
              </w:rPr>
            </w:pPr>
            <w:r>
              <w:rPr>
                <w:iCs/>
              </w:rPr>
              <w:t xml:space="preserve">Website: </w:t>
            </w:r>
            <w:r>
              <w:fldChar w:fldCharType="begin"/>
            </w:r>
            <w:r>
              <w:instrText xml:space="preserve"> HYPERLINK "https://www.me.gov.ua" \t "_blank" </w:instrText>
            </w:r>
            <w:r>
              <w:fldChar w:fldCharType="separate"/>
            </w:r>
            <w:r>
              <w:rPr>
                <w:iCs/>
                <w:color w:val="0000FF"/>
                <w:u w:val="single"/>
              </w:rPr>
              <w:t>https://www.me.gov.ua</w:t>
            </w:r>
            <w:r>
              <w:rPr>
                <w:iCs/>
                <w:color w:val="0000FF"/>
                <w:u w:val="single"/>
              </w:rPr>
              <w:fldChar w:fldCharType="end"/>
            </w:r>
          </w:p>
          <w:p w14:paraId="570CBCB5">
            <w:pPr>
              <w:keepNext/>
              <w:keepLines/>
              <w:spacing w:before="120" w:after="120"/>
              <w:rPr>
                <w:iCs/>
                <w:color w:val="0000FF"/>
                <w:u w:val="single"/>
              </w:rPr>
            </w:pPr>
          </w:p>
          <w:p w14:paraId="559A8162">
            <w:pPr>
              <w:pBdr>
                <w:top w:val="none" w:color="auto" w:sz="0" w:space="4"/>
                <w:bottom w:val="none" w:color="auto" w:sz="0" w:space="4"/>
              </w:pBdr>
              <w:rPr>
                <w:iCs/>
              </w:rPr>
            </w:pPr>
            <w:r>
              <w:fldChar w:fldCharType="begin"/>
            </w:r>
            <w:r>
              <w:instrText xml:space="preserve"> HYPERLINK "https://members.wto.org/crnattachments/2025/TBT/UKR/25_05069_00_x.pdf" \t "_blank" </w:instrText>
            </w:r>
            <w:r>
              <w:fldChar w:fldCharType="separate"/>
            </w:r>
            <w:r>
              <w:rPr>
                <w:iCs/>
                <w:color w:val="0000FF"/>
                <w:u w:val="single"/>
              </w:rPr>
              <w:t>https://members.wto.org/crnattachments/2025/TBT/UKR/25_05069_00_x.pdf</w:t>
            </w:r>
            <w:r>
              <w:rPr>
                <w:iCs/>
                <w:color w:val="0000FF"/>
                <w:u w:val="single"/>
              </w:rPr>
              <w:fldChar w:fldCharType="end"/>
            </w:r>
          </w:p>
          <w:p w14:paraId="236263F8">
            <w:r>
              <w:fldChar w:fldCharType="begin"/>
            </w:r>
            <w:r>
              <w:instrText xml:space="preserve"> HYPERLINK "https://zakon.rada.gov.ua/laws/show/901-2025-%D0%BF" \l "Text" \t "_blank" </w:instrText>
            </w:r>
            <w:r>
              <w:fldChar w:fldCharType="separate"/>
            </w:r>
            <w:r>
              <w:rPr>
                <w:iCs/>
                <w:color w:val="0000FF"/>
                <w:u w:val="single"/>
              </w:rPr>
              <w:t>https://zakon.rada.gov.ua/laws/show/901-2025-%D0%BF#Text</w:t>
            </w:r>
            <w:r>
              <w:rPr>
                <w:iCs/>
                <w:color w:val="0000FF"/>
                <w:u w:val="single"/>
              </w:rPr>
              <w:fldChar w:fldCharType="end"/>
            </w:r>
          </w:p>
          <w:p w14:paraId="6D934BC9">
            <w:pPr>
              <w:pBdr>
                <w:bottom w:val="none" w:color="auto" w:sz="0" w:space="4"/>
              </w:pBdr>
              <w:rPr>
                <w:bCs/>
              </w:rPr>
            </w:pPr>
          </w:p>
        </w:tc>
      </w:tr>
    </w:tbl>
    <w:p w14:paraId="79D6F3D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052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126C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7DC9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E21B4">
    <w:pPr>
      <w:pStyle w:val="58"/>
      <w:pBdr>
        <w:bottom w:val="single" w:color="auto" w:sz="4" w:space="1"/>
      </w:pBdr>
      <w:tabs>
        <w:tab w:val="clear" w:pos="4513"/>
        <w:tab w:val="clear" w:pos="9027"/>
      </w:tabs>
      <w:jc w:val="center"/>
    </w:pPr>
    <w:bookmarkStart w:id="9" w:name="spsSymbolHeader"/>
    <w:r>
      <w:t>G/TBT/N/UKR/347</w:t>
    </w:r>
    <w:bookmarkEnd w:id="9"/>
  </w:p>
  <w:p w14:paraId="205FB362">
    <w:pPr>
      <w:pStyle w:val="58"/>
      <w:pBdr>
        <w:bottom w:val="single" w:color="auto" w:sz="4" w:space="1"/>
      </w:pBdr>
      <w:tabs>
        <w:tab w:val="clear" w:pos="4513"/>
        <w:tab w:val="clear" w:pos="9027"/>
      </w:tabs>
      <w:jc w:val="center"/>
    </w:pPr>
  </w:p>
  <w:p w14:paraId="12718AE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8EA5A4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B75C9">
    <w:pPr>
      <w:pStyle w:val="58"/>
      <w:pBdr>
        <w:bottom w:val="single" w:color="auto" w:sz="4" w:space="1"/>
      </w:pBdr>
      <w:tabs>
        <w:tab w:val="clear" w:pos="4513"/>
        <w:tab w:val="clear" w:pos="9027"/>
      </w:tabs>
      <w:jc w:val="center"/>
    </w:pPr>
    <w:r>
      <w:t>tbtSymbol</w:t>
    </w:r>
  </w:p>
  <w:p w14:paraId="21E2687A">
    <w:pPr>
      <w:pStyle w:val="58"/>
      <w:pBdr>
        <w:bottom w:val="single" w:color="auto" w:sz="4" w:space="1"/>
      </w:pBdr>
      <w:tabs>
        <w:tab w:val="clear" w:pos="4513"/>
        <w:tab w:val="clear" w:pos="9027"/>
      </w:tabs>
      <w:jc w:val="center"/>
    </w:pPr>
  </w:p>
  <w:p w14:paraId="05CEDC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BF1AFF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266D8A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7CBE95F">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4C48674">
          <w:pPr>
            <w:jc w:val="right"/>
            <w:rPr>
              <w:b/>
              <w:color w:val="FF0000"/>
              <w:szCs w:val="16"/>
            </w:rPr>
          </w:pPr>
        </w:p>
      </w:tc>
    </w:tr>
    <w:bookmarkEnd w:id="0"/>
    <w:tr w14:paraId="1D03669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311B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B1C0548">
          <w:pPr>
            <w:jc w:val="right"/>
            <w:rPr>
              <w:b/>
              <w:szCs w:val="16"/>
            </w:rPr>
          </w:pPr>
        </w:p>
      </w:tc>
    </w:tr>
    <w:tr w14:paraId="039695A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6844524">
          <w:pPr>
            <w:jc w:val="left"/>
            <w:rPr>
              <w:lang w:eastAsia="en-GB"/>
            </w:rPr>
          </w:pPr>
        </w:p>
      </w:tc>
      <w:tc>
        <w:tcPr>
          <w:tcW w:w="5448" w:type="dxa"/>
          <w:gridSpan w:val="2"/>
          <w:shd w:val="clear" w:color="auto" w:fill="FFFFFF"/>
          <w:tcMar>
            <w:left w:w="108" w:type="dxa"/>
            <w:right w:w="108" w:type="dxa"/>
          </w:tcMar>
        </w:tcPr>
        <w:p w14:paraId="3B5D4115">
          <w:pPr>
            <w:jc w:val="right"/>
            <w:rPr>
              <w:rFonts w:hint="default" w:eastAsia="宋体"/>
              <w:b/>
              <w:szCs w:val="16"/>
              <w:lang w:val="en-US" w:eastAsia="zh-CN"/>
            </w:rPr>
          </w:pPr>
          <w:bookmarkStart w:id="1" w:name="bmkSymbols"/>
          <w:r>
            <w:rPr>
              <w:b/>
              <w:szCs w:val="16"/>
            </w:rPr>
            <w:t>G/TBT/N/UKR/3</w:t>
          </w:r>
          <w:bookmarkEnd w:id="1"/>
          <w:r>
            <w:rPr>
              <w:rFonts w:hint="eastAsia" w:eastAsia="宋体"/>
              <w:b/>
              <w:szCs w:val="16"/>
              <w:lang w:val="en-US" w:eastAsia="zh-CN"/>
            </w:rPr>
            <w:t>54</w:t>
          </w:r>
        </w:p>
      </w:tc>
    </w:tr>
    <w:tr w14:paraId="7D23877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2F7E509"/>
      </w:tc>
      <w:tc>
        <w:tcPr>
          <w:tcW w:w="5448" w:type="dxa"/>
          <w:gridSpan w:val="2"/>
          <w:shd w:val="clear" w:color="auto" w:fill="FFFFFF"/>
          <w:tcMar>
            <w:left w:w="108" w:type="dxa"/>
            <w:right w:w="108" w:type="dxa"/>
          </w:tcMar>
          <w:vAlign w:val="center"/>
        </w:tcPr>
        <w:p w14:paraId="3B1A5B0B">
          <w:pPr>
            <w:jc w:val="right"/>
            <w:rPr>
              <w:szCs w:val="16"/>
            </w:rPr>
          </w:pPr>
          <w:bookmarkStart w:id="2" w:name="bmkDate"/>
          <w:bookmarkStart w:id="3" w:name="spsDateDistribution"/>
          <w:r>
            <w:rPr>
              <w:szCs w:val="16"/>
            </w:rPr>
            <w:t>30 July 2025</w:t>
          </w:r>
          <w:bookmarkEnd w:id="2"/>
          <w:bookmarkEnd w:id="3"/>
        </w:p>
      </w:tc>
    </w:tr>
    <w:tr w14:paraId="0EA181E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711C616">
          <w:pPr>
            <w:jc w:val="left"/>
            <w:rPr>
              <w:b/>
            </w:rPr>
          </w:pPr>
          <w:bookmarkStart w:id="4" w:name="bmkSerial"/>
          <w:r>
            <w:rPr>
              <w:b w:val="0"/>
              <w:color w:val="FF0000"/>
            </w:rPr>
            <w:t>(25-</w:t>
          </w:r>
          <w:r>
            <w:rPr>
              <w:rFonts w:hint="eastAsia" w:eastAsia="宋体"/>
              <w:b w:val="0"/>
              <w:color w:val="FF0000"/>
              <w:lang w:val="en-US" w:eastAsia="zh-CN"/>
            </w:rPr>
            <w:t>4937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FE9279C">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7964C0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501933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87ABC4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BEEBC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76D65"/>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4384A"/>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0F62"/>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436C"/>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2CD8"/>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1F89"/>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853AD8"/>
    <w:rsid w:val="29CC3EEF"/>
    <w:rsid w:val="386716A2"/>
    <w:rsid w:val="3EC21D75"/>
    <w:rsid w:val="40894D8B"/>
    <w:rsid w:val="445F0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C837-1D53-4515-95D2-B4068F3BC567}">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583</Words>
  <Characters>3415</Characters>
  <Lines>35</Lines>
  <Paragraphs>9</Paragraphs>
  <TotalTime>0</TotalTime>
  <ScaleCrop>false</ScaleCrop>
  <LinksUpToDate>false</LinksUpToDate>
  <CharactersWithSpaces>3955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2025-06-17T12:53:00Z</dcterms:created>
  <dc:creator>mark louie medidas</dc:creator>
  <dc:description>LDIMD - DTU</dc:description>
  <cp:lastModifiedBy> 譞譞</cp:lastModifiedBy>
  <dcterms:modified xsi:type="dcterms:W3CDTF">2025-07-30T15:23:58Z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812CC6CF89C943128F960BBA28E614BA_12</vt:lpwstr>
  </property>
</Properties>
</file>