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51B284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4E3A69C3">
      <w:pPr>
        <w:jc w:val="center"/>
      </w:pPr>
      <w:r>
        <w:t>Se da traslado de la notificación siguiente de conformidad con el artículo 10.6.</w:t>
      </w:r>
    </w:p>
    <w:p w14:paraId="31F848C4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4E6095E2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1D0C4266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7A5C098F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 </w:t>
            </w:r>
            <w:r>
              <w:rPr>
                <w:u w:val="single"/>
              </w:rPr>
              <w:t>EL SALVADOR</w:t>
            </w:r>
          </w:p>
          <w:p w14:paraId="37E7B03B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5357909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A62DFC2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2EFB74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2CFFA130">
            <w:r>
              <w:t>Organismo Salvadoreño de Reglamentación Técnica (OSARTEC).</w:t>
            </w:r>
          </w:p>
          <w:p w14:paraId="65D77398">
            <w:r>
              <w:t>Ministerio de Economía</w:t>
            </w:r>
          </w:p>
          <w:p w14:paraId="157A8129">
            <w:r>
              <w:t>Dirección de Administración de Tratados Comerciales</w:t>
            </w:r>
          </w:p>
          <w:p w14:paraId="17B9CDCD">
            <w:r>
              <w:t>Alameda Juan Pablo II y Calle Guadalupe Plan Maestro, San Salvador Centro, El Salvador.</w:t>
            </w:r>
          </w:p>
          <w:p w14:paraId="4E18E506">
            <w:pPr>
              <w:rPr>
                <w:lang w:val="en-GB"/>
              </w:rPr>
            </w:pPr>
            <w:r>
              <w:rPr>
                <w:lang w:val="en-GB"/>
              </w:rPr>
              <w:t xml:space="preserve">Sitio Web: </w:t>
            </w:r>
            <w:r>
              <w:fldChar w:fldCharType="begin"/>
            </w:r>
            <w:r>
              <w:instrText xml:space="preserve"> HYPERLINK "http://www.economia.gob.sv" \t "_blank" </w:instrText>
            </w:r>
            <w:r>
              <w:fldChar w:fldCharType="separate"/>
            </w:r>
            <w:r>
              <w:rPr>
                <w:color w:val="0000FF"/>
                <w:u w:val="single"/>
                <w:lang w:val="en-GB"/>
              </w:rPr>
              <w:t>http://www.economia.gob.sv</w:t>
            </w:r>
            <w:r>
              <w:rPr>
                <w:color w:val="0000FF"/>
                <w:u w:val="single"/>
                <w:lang w:val="en-GB"/>
              </w:rPr>
              <w:fldChar w:fldCharType="end"/>
            </w:r>
          </w:p>
          <w:p w14:paraId="2C16EFD2">
            <w:r>
              <w:t>Teléfono: (503) 2590 5788</w:t>
            </w:r>
          </w:p>
          <w:p w14:paraId="5287A53A">
            <w:pPr>
              <w:spacing w:after="120"/>
            </w:pPr>
            <w:r>
              <w:t xml:space="preserve">Correo electrónico: </w:t>
            </w:r>
            <w:r>
              <w:fldChar w:fldCharType="begin"/>
            </w:r>
            <w:r>
              <w:instrText xml:space="preserve"> HYPERLINK "mailto:datco@economia.gob.sv" </w:instrText>
            </w:r>
            <w:r>
              <w:fldChar w:fldCharType="separate"/>
            </w:r>
            <w:r>
              <w:rPr>
                <w:color w:val="0000FF"/>
                <w:u w:val="single"/>
              </w:rPr>
              <w:t>datco@economia.gob.sv</w:t>
            </w:r>
            <w:r>
              <w:rPr>
                <w:color w:val="0000FF"/>
                <w:u w:val="single"/>
              </w:rPr>
              <w:fldChar w:fldCharType="end"/>
            </w:r>
          </w:p>
          <w:p w14:paraId="4A1CF108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010F3B9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15355D6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510D02D">
            <w:pPr>
              <w:spacing w:before="120" w:after="120"/>
            </w:pPr>
            <w:r>
              <w:rPr>
                <w:b/>
              </w:rPr>
              <w:t>Notificación hecha en virtud del artículo 2.9.2 [</w:t>
            </w:r>
            <w:r>
              <w:rPr>
                <w:rFonts w:hint="eastAsia" w:eastAsia="宋体"/>
                <w:b/>
                <w:lang w:val="en-US" w:eastAsia="zh-CN"/>
              </w:rPr>
              <w:t>X</w:t>
            </w:r>
            <w:r>
              <w:rPr>
                <w:b/>
              </w:rPr>
              <w:t>], 2.10.1 [ ], 5.6.2 [</w:t>
            </w:r>
            <w:r>
              <w:rPr>
                <w:rFonts w:hint="eastAsia" w:eastAsia="宋体"/>
                <w:b/>
                <w:lang w:val="en-US" w:eastAsia="zh-CN"/>
              </w:rPr>
              <w:t xml:space="preserve"> </w:t>
            </w:r>
            <w:r>
              <w:rPr>
                <w:b/>
              </w:rPr>
              <w:t>], 5.7.1 [ ], 3.2 [ ], 7.2 [ ], o en virtud de:</w:t>
            </w:r>
            <w:r>
              <w:t xml:space="preserve"> </w:t>
            </w:r>
          </w:p>
        </w:tc>
      </w:tr>
      <w:tr w14:paraId="68A3B484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06E099D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873AC3E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Ciencias médicas y equipos de tecnología sanitaria en general (Código(s) de la ICS: 11.020)</w:t>
            </w:r>
          </w:p>
        </w:tc>
      </w:tr>
      <w:tr w14:paraId="367F4C1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B511EAB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348842F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Reglamento Técnico Salvadoreño RTS 11.02.05:25 PRODUCTOS FARMACÉUTICOS. PRODUCTOS BIOLÓGICOS, BIOTECNOLÓGICOS Y VACUNAS DE USO HUMANO. REQUISITOS DE REGISTRO SANITARIO.; (46 página(s), en español)</w:t>
            </w:r>
          </w:p>
        </w:tc>
      </w:tr>
      <w:tr w14:paraId="1DD0CB4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C97B3A0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59C914D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Este Reglamento Técnico Salvadoreño establece los requisitos para el registro sanitario de medicamentos de uso humano de origen biológico, biotecnológico y vacunas, con el fin de garantizar su calidad, seguridad y eficacia.</w:t>
            </w:r>
          </w:p>
          <w:p w14:paraId="027EFFA8">
            <w:pPr>
              <w:spacing w:before="120" w:after="120"/>
            </w:pPr>
            <w:r>
              <w:t>Aplica a los medicamentos de origen biológico, biotecnológico y vacunas que soliciten registro sanitario o cuenten con registro sanitario para ser comercializados en el territorio nacional. Se excluyen las terapias avanzadas y se podrá autorizar la excepción del registro sanitario en los siguientes casos:</w:t>
            </w:r>
          </w:p>
          <w:p w14:paraId="5D228AD9">
            <w:pPr>
              <w:spacing w:before="120" w:after="120"/>
            </w:pPr>
            <w:r>
              <w:t>a) Donaciones;</w:t>
            </w:r>
          </w:p>
          <w:p w14:paraId="1135973B">
            <w:pPr>
              <w:spacing w:before="120" w:after="120"/>
            </w:pPr>
            <w:r>
              <w:t>b) Emergencias nacionales y necesidad pública declarada oficialmente;</w:t>
            </w:r>
          </w:p>
          <w:p w14:paraId="4FF7683B">
            <w:pPr>
              <w:spacing w:before="120" w:after="120"/>
            </w:pPr>
            <w:r>
              <w:t>c) En casos de justificación médica individualizada o no exista alternativa terapéutica;</w:t>
            </w:r>
          </w:p>
          <w:p w14:paraId="6166894E">
            <w:pPr>
              <w:spacing w:before="120" w:after="120"/>
            </w:pPr>
            <w:r>
              <w:t>d) Medicamentos adquiridos a través de Mecanismos de Compras de OPS/OMS; y,</w:t>
            </w:r>
          </w:p>
          <w:p w14:paraId="31B8960E">
            <w:pPr>
              <w:spacing w:before="120" w:after="120"/>
            </w:pPr>
            <w:r>
              <w:t>e) Medicamentos negociados a través de la Secretaría Ejecutiva del Consejo de Ministros de Salud de Centroamérica (SE-COMISCA) que cumplan con los criterios técnicos establecidos.</w:t>
            </w:r>
          </w:p>
        </w:tc>
      </w:tr>
      <w:tr w14:paraId="7019366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136B16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001457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Prevención de prácticas que puedan inducir a error y protección del consumidor; Protección de la vida o la salud de los animales o preservación de los vegetales; Protección del medio ambiente</w:t>
            </w:r>
          </w:p>
        </w:tc>
      </w:tr>
      <w:tr w14:paraId="5BCBBB8B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249F84C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AC74976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340FE0EC">
            <w:pPr>
              <w:numPr>
                <w:ilvl w:val="0"/>
                <w:numId w:val="7"/>
              </w:numPr>
              <w:spacing w:before="120" w:after="120"/>
            </w:pPr>
            <w:r>
              <w:t>Ley de Medicamentos, Decreto Legislativo No. 1008, publicada en el Diario Oficial No. 43, Tomo 394, de fecha 2 de marzo de 2012, San Salvador.</w:t>
            </w:r>
          </w:p>
          <w:p w14:paraId="35DF700A">
            <w:pPr>
              <w:numPr>
                <w:ilvl w:val="0"/>
                <w:numId w:val="7"/>
              </w:numPr>
              <w:spacing w:before="120" w:after="120"/>
            </w:pPr>
            <w:r>
              <w:t>Todos los listados en el apartado 12 "DOCUMENTOS A CONSULTAR" del RTS en mención.</w:t>
            </w:r>
          </w:p>
        </w:tc>
      </w:tr>
      <w:tr w14:paraId="00B83A61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1E6B384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A8197A1">
            <w:pPr>
              <w:spacing w:before="120" w:after="120"/>
              <w:rPr>
                <w:bCs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58A30308">
            <w:pPr>
              <w:spacing w:after="120"/>
              <w:rPr>
                <w:b/>
              </w:rPr>
            </w:pPr>
            <w:r>
              <w:rPr>
                <w:b/>
              </w:rPr>
              <w:t>Fecha propuesta de entrada en vigor:</w:t>
            </w:r>
            <w:r>
              <w:t xml:space="preserve"> Por determinar</w:t>
            </w:r>
          </w:p>
        </w:tc>
      </w:tr>
      <w:tr w14:paraId="0426CF0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6A44101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E5A1A3C">
            <w:pPr>
              <w:spacing w:before="120" w:after="120"/>
              <w:rPr>
                <w:bCs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28 de septiembre de 2025</w:t>
            </w:r>
          </w:p>
          <w:p w14:paraId="51AD2BF7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/>
                <w:bCs/>
              </w:rPr>
            </w:pPr>
            <w:r>
              <w:rPr>
                <w:b/>
              </w:rPr>
              <w:t>[X] 60 días a partir de la fecha de notificación</w:t>
            </w:r>
            <w:r>
              <w:rPr>
                <w:bCs/>
              </w:rPr>
              <w:t xml:space="preserve"> </w:t>
            </w:r>
          </w:p>
          <w:p w14:paraId="2181198A">
            <w:pPr>
              <w:spacing w:before="120" w:after="120"/>
              <w:rPr>
                <w:bCs/>
              </w:rPr>
            </w:pPr>
            <w:r>
              <w:rPr>
                <w:b/>
              </w:rPr>
              <w:t>Datos de contacto del organismo o la autoridad encargados de dar trámite a las observaciones sobre la notificación de que se trate:</w:t>
            </w:r>
            <w:r>
              <w:rPr>
                <w:bCs/>
              </w:rPr>
              <w:t xml:space="preserve"> </w:t>
            </w:r>
          </w:p>
          <w:p w14:paraId="70BD74E2">
            <w:pPr>
              <w:rPr>
                <w:bCs/>
              </w:rPr>
            </w:pPr>
            <w:r>
              <w:rPr>
                <w:bCs/>
              </w:rPr>
              <w:t>Ministerio de Economía</w:t>
            </w:r>
          </w:p>
          <w:p w14:paraId="2F39F352">
            <w:pPr>
              <w:rPr>
                <w:bCs/>
              </w:rPr>
            </w:pPr>
            <w:r>
              <w:rPr>
                <w:bCs/>
              </w:rPr>
              <w:t>Dirección de Administración de Tratados Comerciales</w:t>
            </w:r>
          </w:p>
          <w:p w14:paraId="5D3855F2">
            <w:pPr>
              <w:rPr>
                <w:bCs/>
              </w:rPr>
            </w:pPr>
            <w:r>
              <w:rPr>
                <w:bCs/>
              </w:rPr>
              <w:t>Alameda Juan Pablo II y Calle Guadalupe Plan Maestro, San Salvador Centro, El Salvador.</w:t>
            </w:r>
          </w:p>
          <w:p w14:paraId="554617DA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 xml:space="preserve">Sitio Web: </w:t>
            </w:r>
            <w:r>
              <w:fldChar w:fldCharType="begin"/>
            </w:r>
            <w:r>
              <w:instrText xml:space="preserve"> HYPERLINK "http://www.economia.gob.sv"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  <w:lang w:val="en-GB"/>
              </w:rPr>
              <w:t>http://www.economia.gob.sv</w:t>
            </w:r>
            <w:r>
              <w:rPr>
                <w:bCs/>
                <w:color w:val="0000FF"/>
                <w:u w:val="single"/>
                <w:lang w:val="en-GB"/>
              </w:rPr>
              <w:fldChar w:fldCharType="end"/>
            </w:r>
          </w:p>
          <w:p w14:paraId="7D0DF875">
            <w:pPr>
              <w:rPr>
                <w:bCs/>
              </w:rPr>
            </w:pPr>
            <w:r>
              <w:rPr>
                <w:bCs/>
              </w:rPr>
              <w:t>Teléfono: (503) 2590 5788;</w:t>
            </w:r>
          </w:p>
          <w:p w14:paraId="1C01A0C9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"mailto:datco@economia.gob.sv"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datco@economia.gob.sv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0581F14D">
            <w:pPr>
              <w:rPr>
                <w:bCs/>
              </w:rPr>
            </w:pPr>
            <w:r>
              <w:rPr>
                <w:bCs/>
              </w:rPr>
              <w:t>Consejo Nacional de Calidad</w:t>
            </w:r>
          </w:p>
          <w:p w14:paraId="6512C5E0">
            <w:pPr>
              <w:rPr>
                <w:bCs/>
              </w:rPr>
            </w:pPr>
            <w:r>
              <w:rPr>
                <w:bCs/>
              </w:rPr>
              <w:t>Organismo Salvadoreño de Reglamentación Técnica (OSARTEC)</w:t>
            </w:r>
          </w:p>
          <w:p w14:paraId="1C3E1757">
            <w:pPr>
              <w:rPr>
                <w:bCs/>
              </w:rPr>
            </w:pPr>
            <w:r>
              <w:rPr>
                <w:bCs/>
              </w:rPr>
              <w:t>Boulevard San Bartolo y Calle Lempa, costado Norte del INCAF, Edificio CNC, San Salvador Este, El Salvador.</w:t>
            </w:r>
          </w:p>
          <w:p w14:paraId="15122CD7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 xml:space="preserve">Sitio Web: </w:t>
            </w:r>
            <w:r>
              <w:fldChar w:fldCharType="begin"/>
            </w:r>
            <w:r>
              <w:instrText xml:space="preserve"> HYPERLINK "https://osartec.gob.sv/"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  <w:lang w:val="en-GB"/>
              </w:rPr>
              <w:t>https://osartec.gob.sv/</w:t>
            </w:r>
            <w:r>
              <w:rPr>
                <w:bCs/>
                <w:color w:val="0000FF"/>
                <w:u w:val="single"/>
                <w:lang w:val="en-GB"/>
              </w:rPr>
              <w:fldChar w:fldCharType="end"/>
            </w:r>
          </w:p>
          <w:p w14:paraId="754EEB79">
            <w:pPr>
              <w:rPr>
                <w:bCs/>
              </w:rPr>
            </w:pPr>
            <w:r>
              <w:rPr>
                <w:bCs/>
              </w:rPr>
              <w:t>Teléfono: (503) 2590 5335; (503) 2590 5338</w:t>
            </w:r>
          </w:p>
          <w:p w14:paraId="4AF19F95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"mailto:consultasreglamento@osartec.gob.sv"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consultasreglamento@osartec.gob.sv</w:t>
            </w:r>
            <w:r>
              <w:rPr>
                <w:bCs/>
                <w:color w:val="0000FF"/>
                <w:u w:val="single"/>
              </w:rPr>
              <w:fldChar w:fldCharType="end"/>
            </w:r>
            <w:bookmarkStart w:id="10" w:name="_GoBack"/>
            <w:bookmarkEnd w:id="10"/>
          </w:p>
          <w:p w14:paraId="3CA5CFF1">
            <w:pPr>
              <w:spacing w:before="120" w:after="120"/>
            </w:pPr>
          </w:p>
        </w:tc>
      </w:tr>
      <w:tr w14:paraId="511E7B2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5FE13448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5D9F87D8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[X],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0E008BF6">
            <w:pPr>
              <w:rPr>
                <w:bCs/>
              </w:rPr>
            </w:pPr>
            <w:r>
              <w:rPr>
                <w:bCs/>
              </w:rPr>
              <w:t>Ministerio de Economía</w:t>
            </w:r>
          </w:p>
          <w:p w14:paraId="4606031B">
            <w:pPr>
              <w:rPr>
                <w:bCs/>
              </w:rPr>
            </w:pPr>
            <w:r>
              <w:rPr>
                <w:bCs/>
              </w:rPr>
              <w:t>Dirección de Administración de Tratados Comerciales</w:t>
            </w:r>
          </w:p>
          <w:p w14:paraId="6FB1F920">
            <w:pPr>
              <w:rPr>
                <w:bCs/>
              </w:rPr>
            </w:pPr>
            <w:r>
              <w:rPr>
                <w:bCs/>
              </w:rPr>
              <w:t>Alameda Juan Pablo II y Calle Guadalupe Plan Maestro, San Salvador Centro, El Salvador.</w:t>
            </w:r>
          </w:p>
          <w:p w14:paraId="19AF240F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 xml:space="preserve">Sitio Web: </w:t>
            </w:r>
            <w:r>
              <w:fldChar w:fldCharType="begin"/>
            </w:r>
            <w:r>
              <w:instrText xml:space="preserve"> HYPERLINK "http://www.economia.gob.sv"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  <w:lang w:val="en-GB"/>
              </w:rPr>
              <w:t>http://www.economia.gob.sv</w:t>
            </w:r>
            <w:r>
              <w:rPr>
                <w:bCs/>
                <w:color w:val="0000FF"/>
                <w:u w:val="single"/>
                <w:lang w:val="en-GB"/>
              </w:rPr>
              <w:fldChar w:fldCharType="end"/>
            </w:r>
          </w:p>
          <w:p w14:paraId="6F07086C">
            <w:pPr>
              <w:rPr>
                <w:bCs/>
              </w:rPr>
            </w:pPr>
            <w:r>
              <w:rPr>
                <w:bCs/>
              </w:rPr>
              <w:t>Teléfono: (503) 2590 5788;</w:t>
            </w:r>
          </w:p>
          <w:p w14:paraId="7BDB012E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"mailto:datco@economia.gob.sv"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datco@economia.gob.sv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1BC93BEC">
            <w:pPr>
              <w:rPr>
                <w:bCs/>
              </w:rPr>
            </w:pPr>
            <w:r>
              <w:rPr>
                <w:bCs/>
              </w:rPr>
              <w:t>Consejo Nacional de Calidad</w:t>
            </w:r>
          </w:p>
          <w:p w14:paraId="120C8A1B">
            <w:pPr>
              <w:rPr>
                <w:bCs/>
              </w:rPr>
            </w:pPr>
            <w:r>
              <w:rPr>
                <w:bCs/>
              </w:rPr>
              <w:t>Organismo Salvadoreño de Reglamentación Técnica (OSARTEC)</w:t>
            </w:r>
          </w:p>
          <w:p w14:paraId="061AD839">
            <w:pPr>
              <w:rPr>
                <w:bCs/>
              </w:rPr>
            </w:pPr>
            <w:r>
              <w:rPr>
                <w:bCs/>
              </w:rPr>
              <w:t>Boulevard San Bartolo y Calle Lempa, costado Norte del INCAF, Edificio CNC, San Salvador Este, El Salvador.</w:t>
            </w:r>
          </w:p>
          <w:p w14:paraId="4EE5AED7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 xml:space="preserve">Sitio Web: </w:t>
            </w:r>
            <w:r>
              <w:fldChar w:fldCharType="begin"/>
            </w:r>
            <w:r>
              <w:instrText xml:space="preserve"> HYPERLINK "https://osartec.gob.sv/"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  <w:lang w:val="en-GB"/>
              </w:rPr>
              <w:t>https://osartec.gob.sv/</w:t>
            </w:r>
            <w:r>
              <w:rPr>
                <w:bCs/>
                <w:color w:val="0000FF"/>
                <w:u w:val="single"/>
                <w:lang w:val="en-GB"/>
              </w:rPr>
              <w:fldChar w:fldCharType="end"/>
            </w:r>
          </w:p>
          <w:p w14:paraId="5C71476B">
            <w:pPr>
              <w:rPr>
                <w:bCs/>
              </w:rPr>
            </w:pPr>
            <w:r>
              <w:rPr>
                <w:bCs/>
              </w:rPr>
              <w:t>Teléfono: (503) 2590 5335; (503) 2590 5338</w:t>
            </w:r>
          </w:p>
          <w:p w14:paraId="6EC9139C">
            <w:pPr>
              <w:keepNext/>
              <w:keepLines/>
              <w:spacing w:before="120" w:after="120"/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"mailto:consultasreglamento@osartec.gob.sv"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consultasreglamento@osartec.gob.sv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3039F164">
            <w:pPr>
              <w:keepNext/>
              <w:keepLines/>
              <w:spacing w:before="120" w:after="120"/>
            </w:pPr>
          </w:p>
          <w:p w14:paraId="495CF3C4">
            <w:pPr>
              <w:pBdr>
                <w:top w:val="none" w:color="auto" w:sz="0" w:space="4"/>
                <w:bottom w:val="none" w:color="auto" w:sz="0" w:space="4"/>
              </w:pBdr>
              <w:rPr>
                <w:bCs/>
              </w:rPr>
            </w:pPr>
            <w:r>
              <w:fldChar w:fldCharType="begin"/>
            </w:r>
            <w:r>
              <w:instrText xml:space="preserve"> HYPERLINK "https://members.wto.org/crnattachments/2025/TBT/SLV/25_04887_00_s.pdf"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https://members.wto.org/crnattachments/2025/TBT/SLV/25_04887_00_s.pdf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12B6231D">
            <w:pPr>
              <w:keepNext/>
              <w:keepLines/>
              <w:pBdr>
                <w:top w:val="none" w:color="auto" w:sz="0" w:space="4"/>
              </w:pBdr>
              <w:spacing w:after="120"/>
            </w:pPr>
          </w:p>
        </w:tc>
      </w:tr>
    </w:tbl>
    <w:p w14:paraId="19684025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CE1553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F9F1B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B94452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B9376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9" w:name="spsSymbolHeader"/>
    <w:r>
      <w:t>G/TBT/N/CHL/738</w:t>
    </w:r>
    <w:bookmarkEnd w:id="9"/>
  </w:p>
  <w:p w14:paraId="678F664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3536EF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32D3A90E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54900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B26AFB0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462EEE0B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116F069F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6D650BE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F96B152">
          <w:pPr>
            <w:rPr>
              <w:szCs w:val="18"/>
              <w:lang w:eastAsia="en-GB"/>
            </w:rPr>
          </w:pPr>
          <w:bookmarkStart w:id="0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31D7D85">
          <w:pPr>
            <w:jc w:val="right"/>
            <w:rPr>
              <w:b/>
              <w:color w:val="FF0000"/>
              <w:szCs w:val="18"/>
            </w:rPr>
          </w:pPr>
        </w:p>
      </w:tc>
    </w:tr>
    <w:bookmarkEnd w:id="0"/>
    <w:tr w14:paraId="04619C7B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5886FD7A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4DB719B2">
          <w:pPr>
            <w:jc w:val="right"/>
            <w:rPr>
              <w:b/>
              <w:szCs w:val="18"/>
            </w:rPr>
          </w:pPr>
        </w:p>
      </w:tc>
    </w:tr>
    <w:tr w14:paraId="0FC51FC2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2FBCD3DB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7A1842BC">
          <w:pPr>
            <w:jc w:val="right"/>
            <w:rPr>
              <w:rFonts w:hint="default" w:eastAsia="宋体"/>
              <w:b/>
              <w:szCs w:val="18"/>
              <w:lang w:val="en-US" w:eastAsia="zh-CN"/>
            </w:rPr>
          </w:pPr>
          <w:bookmarkStart w:id="1" w:name="bmkSymbols"/>
          <w:r>
            <w:rPr>
              <w:b/>
              <w:szCs w:val="18"/>
            </w:rPr>
            <w:t>G/TBT/N/</w:t>
          </w:r>
          <w:r>
            <w:rPr>
              <w:rFonts w:hint="eastAsia" w:eastAsia="宋体"/>
              <w:b/>
              <w:szCs w:val="18"/>
              <w:lang w:val="en-US" w:eastAsia="zh-CN"/>
            </w:rPr>
            <w:t>S</w:t>
          </w:r>
          <w:r>
            <w:rPr>
              <w:b/>
              <w:szCs w:val="18"/>
            </w:rPr>
            <w:t>L</w:t>
          </w:r>
          <w:r>
            <w:rPr>
              <w:rFonts w:hint="eastAsia" w:eastAsia="宋体"/>
              <w:b/>
              <w:szCs w:val="18"/>
              <w:lang w:val="en-US" w:eastAsia="zh-CN"/>
            </w:rPr>
            <w:t>V</w:t>
          </w:r>
          <w:r>
            <w:rPr>
              <w:b/>
              <w:szCs w:val="18"/>
            </w:rPr>
            <w:t>/</w:t>
          </w:r>
          <w:bookmarkEnd w:id="1"/>
          <w:r>
            <w:rPr>
              <w:rFonts w:hint="eastAsia" w:eastAsia="宋体"/>
              <w:b/>
              <w:szCs w:val="18"/>
              <w:lang w:val="en-US" w:eastAsia="zh-CN"/>
            </w:rPr>
            <w:t>234</w:t>
          </w:r>
        </w:p>
      </w:tc>
    </w:tr>
    <w:tr w14:paraId="2C0D33BE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186019E4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9CDED16">
          <w:pPr>
            <w:jc w:val="right"/>
            <w:rPr>
              <w:szCs w:val="18"/>
            </w:rPr>
          </w:pPr>
          <w:bookmarkStart w:id="2" w:name="spsDateDistribution"/>
          <w:bookmarkStart w:id="3" w:name="bmkDate"/>
          <w:r>
            <w:rPr>
              <w:rFonts w:hint="eastAsia" w:eastAsia="宋体"/>
              <w:szCs w:val="18"/>
              <w:lang w:val="en-US" w:eastAsia="zh-CN"/>
            </w:rPr>
            <w:t>30</w:t>
          </w:r>
          <w:r>
            <w:rPr>
              <w:szCs w:val="18"/>
            </w:rPr>
            <w:t xml:space="preserve"> de julio de 2025</w:t>
          </w:r>
          <w:bookmarkEnd w:id="2"/>
          <w:bookmarkEnd w:id="3"/>
        </w:p>
      </w:tc>
    </w:tr>
    <w:tr w14:paraId="68F67FC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186D632">
          <w:pPr>
            <w:jc w:val="left"/>
            <w:rPr>
              <w:b/>
              <w:szCs w:val="18"/>
            </w:rPr>
          </w:pPr>
          <w:bookmarkStart w:id="4" w:name="bmkSerial"/>
          <w:r>
            <w:rPr>
              <w:b w:val="0"/>
              <w:color w:val="FF0000"/>
            </w:rPr>
            <w:t>(25-</w:t>
          </w:r>
          <w:r>
            <w:rPr>
              <w:rFonts w:hint="eastAsia" w:eastAsia="宋体"/>
              <w:b w:val="0"/>
              <w:color w:val="FF0000"/>
              <w:lang w:val="en-US" w:eastAsia="zh-CN"/>
            </w:rPr>
            <w:t>4914</w:t>
          </w:r>
          <w:r>
            <w:rPr>
              <w:b w:val="0"/>
              <w:color w:val="FF0000"/>
            </w:rPr>
            <w:t>)</w:t>
          </w:r>
          <w:bookmarkEnd w:id="4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CD3EB4A">
          <w:pPr>
            <w:jc w:val="right"/>
            <w:rPr>
              <w:szCs w:val="18"/>
            </w:rPr>
          </w:pPr>
          <w:bookmarkStart w:id="5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2</w:t>
          </w:r>
          <w:r>
            <w:rPr>
              <w:szCs w:val="18"/>
            </w:rPr>
            <w:fldChar w:fldCharType="end"/>
          </w:r>
          <w:bookmarkEnd w:id="5"/>
        </w:p>
      </w:tc>
    </w:tr>
    <w:tr w14:paraId="74D5242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38FCAFB">
          <w:pPr>
            <w:jc w:val="left"/>
            <w:rPr>
              <w:szCs w:val="18"/>
            </w:rPr>
          </w:pPr>
          <w:bookmarkStart w:id="6" w:name="bmkCommittee"/>
          <w:r>
            <w:rPr>
              <w:b/>
              <w:szCs w:val="18"/>
            </w:rPr>
            <w:t>Comité de Obstáculos Técnicos al Comercio</w:t>
          </w:r>
          <w:bookmarkEnd w:id="6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E6ADE0B">
          <w:pPr>
            <w:jc w:val="right"/>
            <w:rPr>
              <w:bCs/>
              <w:szCs w:val="18"/>
            </w:rPr>
          </w:pPr>
          <w:bookmarkStart w:id="7" w:name="bmkLanguage"/>
          <w:r>
            <w:rPr>
              <w:bCs/>
              <w:szCs w:val="18"/>
            </w:rPr>
            <w:t xml:space="preserve">Original: </w:t>
          </w:r>
          <w:bookmarkStart w:id="8" w:name="spsOriginalLanguage"/>
          <w:r>
            <w:rPr>
              <w:bCs/>
              <w:szCs w:val="18"/>
            </w:rPr>
            <w:t>español</w:t>
          </w:r>
          <w:bookmarkEnd w:id="7"/>
          <w:bookmarkEnd w:id="8"/>
        </w:p>
      </w:tc>
    </w:tr>
  </w:tbl>
  <w:p w14:paraId="2FDA174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3D526BB"/>
    <w:multiLevelType w:val="multilevel"/>
    <w:tmpl w:val="63D526BB"/>
    <w:lvl w:ilvl="0" w:tentative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movePersonalInformation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3682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D290D"/>
    <w:rsid w:val="004D3BBA"/>
    <w:rsid w:val="004D5D05"/>
    <w:rsid w:val="004D622B"/>
    <w:rsid w:val="004E1A35"/>
    <w:rsid w:val="004E55A0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F0AAE"/>
    <w:rsid w:val="00605630"/>
    <w:rsid w:val="00617B12"/>
    <w:rsid w:val="006652F7"/>
    <w:rsid w:val="00674766"/>
    <w:rsid w:val="00674833"/>
    <w:rsid w:val="00677F2C"/>
    <w:rsid w:val="00683277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304CB"/>
    <w:rsid w:val="0093775F"/>
    <w:rsid w:val="00946686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26FF0"/>
    <w:rsid w:val="00A37C79"/>
    <w:rsid w:val="00A42A6A"/>
    <w:rsid w:val="00A46611"/>
    <w:rsid w:val="00A52F73"/>
    <w:rsid w:val="00A5462B"/>
    <w:rsid w:val="00A60556"/>
    <w:rsid w:val="00A627A8"/>
    <w:rsid w:val="00A634E9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32C0D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58AC"/>
    <w:rsid w:val="00EB7769"/>
    <w:rsid w:val="00ED3396"/>
    <w:rsid w:val="00EE50B7"/>
    <w:rsid w:val="00EF045A"/>
    <w:rsid w:val="00EF756F"/>
    <w:rsid w:val="00F009AC"/>
    <w:rsid w:val="00F11625"/>
    <w:rsid w:val="00F325A3"/>
    <w:rsid w:val="00F35602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07C12659"/>
    <w:rsid w:val="07D43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qFormat="1" w:unhideWhenUsed="0" w:uiPriority="2" w:semiHidden="0" w:name="heading 7"/>
    <w:lsdException w:qFormat="1" w:unhideWhenUsed="0" w:uiPriority="2" w:semiHidden="0" w:name="heading 8"/>
    <w:lsdException w:unhideWhenUsed="0" w:uiPriority="2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qFormat="1" w:uiPriority="99" w:name="index 5"/>
    <w:lsdException w:uiPriority="99" w:name="index 6"/>
    <w:lsdException w:qFormat="1" w:uiPriority="99" w:name="index 7"/>
    <w:lsdException w:uiPriority="99" w:name="index 8"/>
    <w:lsdException w:uiPriority="99" w:name="index 9"/>
    <w:lsdException w:unhideWhenUsed="0" w:uiPriority="39" w:semiHidden="0" w:name="toc 1"/>
    <w:lsdException w:qFormat="1" w:unhideWhenUsed="0" w:uiPriority="39" w:semiHidden="0" w:name="toc 2"/>
    <w:lsdException w:unhideWhenUsed="0" w:uiPriority="39" w:semiHidden="0" w:name="toc 3"/>
    <w:lsdException w:unhideWhenUsed="0" w:uiPriority="39" w:semiHidden="0" w:name="toc 4"/>
    <w:lsdException w:unhideWhenUsed="0" w:uiPriority="39" w:semiHidden="0" w:name="toc 5"/>
    <w:lsdException w:qFormat="1" w:unhideWhenUsed="0" w:uiPriority="39" w:semiHidden="0" w:name="toc 6"/>
    <w:lsdException w:unhideWhenUsed="0" w:uiPriority="39" w:semiHidden="0" w:name="toc 7"/>
    <w:lsdException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unhideWhenUsed="0" w:uiPriority="5" w:semiHidden="0" w:name="footnote text"/>
    <w:lsdException w:uiPriority="99" w:semiHidden="0" w:name="annotation text"/>
    <w:lsdException w:unhideWhenUsed="0" w:uiPriority="3" w:semiHidden="0" w:name="header"/>
    <w:lsdException w:unhideWhenUsed="0" w:uiPriority="3" w:semiHidden="0" w:name="footer"/>
    <w:lsdException w:uiPriority="99" w:name="index heading"/>
    <w:lsdException w:qFormat="1" w:unhideWhenUsed="0" w:uiPriority="6" w:semiHidden="0" w:name="caption"/>
    <w:lsdException w:unhideWhenUsed="0" w:uiPriority="39" w:semiHidden="0" w:name="table of figures"/>
    <w:lsdException w:uiPriority="99" w:name="envelope address"/>
    <w:lsdException w:uiPriority="99" w:name="envelope return"/>
    <w:lsdException w:qFormat="1" w:unhideWhenUsed="0" w:uiPriority="5" w:semiHidden="0" w:name="footnote reference"/>
    <w:lsdException w:uiPriority="99" w:name="annotation reference"/>
    <w:lsdException w:qFormat="1" w:uiPriority="99" w:name="line number"/>
    <w:lsdException w:qFormat="1" w:uiPriority="99" w:name="page number"/>
    <w:lsdException w:qFormat="1" w:unhideWhenUsed="0" w:uiPriority="49" w:semiHidden="0" w:name="endnote reference"/>
    <w:lsdException w:unhideWhenUsed="0" w:uiPriority="49" w:semiHidden="0" w:name="endnote text"/>
    <w:lsdException w:unhideWhenUsed="0" w:uiPriority="39" w:semiHidden="0" w:name="table of authorities"/>
    <w:lsdException w:uiPriority="99" w:name="macro"/>
    <w:lsdException w:qFormat="1" w:uiPriority="39" w:semiHidden="0" w:name="toa heading"/>
    <w:lsdException w:uiPriority="99" w:name="List"/>
    <w:lsdException w:qFormat="1" w:unhideWhenUsed="0" w:uiPriority="1" w:semiHidden="0" w:name="List Bullet"/>
    <w:lsdException w:uiPriority="49" w:name="List Number"/>
    <w:lsdException w:uiPriority="99" w:name="List 2"/>
    <w:lsdException w:qFormat="1" w:uiPriority="99" w:name="List 3"/>
    <w:lsdException w:uiPriority="99" w:name="List 4"/>
    <w:lsdException w:qFormat="1" w:uiPriority="99" w:name="List 5"/>
    <w:lsdException w:unhideWhenUsed="0" w:uiPriority="1" w:semiHidden="0" w:name="List Bullet 2"/>
    <w:lsdException w:unhideWhenUsed="0" w:uiPriority="1" w:semiHidden="0" w:name="List Bullet 3"/>
    <w:lsdException w:qFormat="1" w:unhideWhenUsed="0" w:uiPriority="1" w:semiHidden="0" w:name="List Bullet 4"/>
    <w:lsdException w:unhideWhenUsed="0" w:uiPriority="1" w:semiHidden="0" w:name="List Bullet 5"/>
    <w:lsdException w:qFormat="1" w:uiPriority="49" w:name="List Number 2"/>
    <w:lsdException w:uiPriority="49" w:name="List Number 3"/>
    <w:lsdException w:uiPriority="49" w:name="List Number 4"/>
    <w:lsdException w:uiPriority="49" w:name="List Number 5"/>
    <w:lsdException w:qFormat="1" w:unhideWhenUsed="0" w:uiPriority="5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6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uiPriority="99" w:name="Body Text Indent 2"/>
    <w:lsdException w:qFormat="1" w:uiPriority="99" w:name="Body Text Indent 3"/>
    <w:lsdException w:uiPriority="99" w:name="Block Text"/>
    <w:lsdException w:qFormat="1"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uiPriority="99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uiPriority="99" w:name="Balloon Text"/>
    <w:lsdException w:unhideWhenUsed="0" w:uiPriority="59" w:semiHidden="0" w:name="Table Grid"/>
    <w:lsdException w:qFormat="1" w:uiPriority="99" w:name="Table Theme"/>
    <w:lsdException w:unhideWhenUsed="0" w:uiPriority="99" w:name="Placeholder Text"/>
    <w:lsdException w:qFormat="1" w:unhideWhenUsed="0" w:uiPriority="1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qFormat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qFormat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uiPriority w:val="1"/>
  </w:style>
  <w:style w:type="table" w:default="1" w:styleId="8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uiPriority w:val="99"/>
  </w:style>
  <w:style w:type="paragraph" w:styleId="18">
    <w:name w:val="List Bullet 4"/>
    <w:basedOn w:val="1"/>
    <w:qFormat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uiPriority w:val="99"/>
  </w:style>
  <w:style w:type="paragraph" w:styleId="21">
    <w:name w:val="List Number"/>
    <w:basedOn w:val="1"/>
    <w:semiHidden/>
    <w:unhideWhenUsed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qFormat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qFormat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uiPriority w:val="99"/>
    <w:pPr>
      <w:ind w:left="4252"/>
    </w:pPr>
  </w:style>
  <w:style w:type="paragraph" w:styleId="34">
    <w:name w:val="List Bullet 3"/>
    <w:basedOn w:val="1"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uiPriority w:val="49"/>
    <w:pPr>
      <w:contextualSpacing/>
    </w:pPr>
  </w:style>
  <w:style w:type="paragraph" w:styleId="37">
    <w:name w:val="List 2"/>
    <w:basedOn w:val="1"/>
    <w:semiHidden/>
    <w:unhideWhenUsed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uiPriority w:val="99"/>
    <w:rPr>
      <w:i/>
      <w:iCs/>
    </w:rPr>
  </w:style>
  <w:style w:type="paragraph" w:styleId="42">
    <w:name w:val="index 4"/>
    <w:basedOn w:val="1"/>
    <w:next w:val="1"/>
    <w:semiHidden/>
    <w:unhideWhenUsed/>
    <w:uiPriority w:val="99"/>
    <w:pPr>
      <w:ind w:left="720" w:hanging="180"/>
    </w:pPr>
  </w:style>
  <w:style w:type="paragraph" w:styleId="43">
    <w:name w:val="toc 5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uiPriority w:val="99"/>
  </w:style>
  <w:style w:type="paragraph" w:styleId="51">
    <w:name w:val="Body Text Indent 2"/>
    <w:basedOn w:val="1"/>
    <w:link w:val="292"/>
    <w:semiHidden/>
    <w:unhideWhenUsed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uiPriority w:val="49"/>
    <w:rPr>
      <w:szCs w:val="20"/>
    </w:rPr>
  </w:style>
  <w:style w:type="paragraph" w:styleId="53">
    <w:name w:val="footnote text"/>
    <w:basedOn w:val="1"/>
    <w:link w:val="264"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uiPriority w:val="99"/>
    <w:pPr>
      <w:ind w:left="4252"/>
    </w:pPr>
  </w:style>
  <w:style w:type="paragraph" w:styleId="60">
    <w:name w:val="toc 1"/>
    <w:basedOn w:val="1"/>
    <w:next w:val="1"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uiPriority w:val="49"/>
    <w:pPr>
      <w:contextualSpacing/>
    </w:pPr>
  </w:style>
  <w:style w:type="paragraph" w:styleId="67">
    <w:name w:val="List"/>
    <w:basedOn w:val="1"/>
    <w:semiHidden/>
    <w:unhideWhenUsed/>
    <w:uiPriority w:val="99"/>
    <w:pPr>
      <w:ind w:left="283" w:hanging="283"/>
      <w:contextualSpacing/>
    </w:pPr>
  </w:style>
  <w:style w:type="paragraph" w:styleId="68">
    <w:name w:val="toc 6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uiPriority w:val="99"/>
    <w:pPr>
      <w:ind w:left="1620" w:hanging="180"/>
    </w:pPr>
  </w:style>
  <w:style w:type="paragraph" w:styleId="73">
    <w:name w:val="table of figures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qFormat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uiPriority w:val="99"/>
    <w:pPr>
      <w:spacing w:after="0"/>
      <w:ind w:left="360" w:firstLine="360"/>
    </w:pPr>
  </w:style>
  <w:style w:type="table" w:styleId="89">
    <w:name w:val="Table Grid"/>
    <w:basedOn w:val="88"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qFormat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qFormat/>
    <w:uiPriority w:val="99"/>
    <w:rPr>
      <w:i/>
      <w:iCs/>
      <w:lang w:val="es-ES"/>
    </w:rPr>
  </w:style>
  <w:style w:type="character" w:styleId="239">
    <w:name w:val="HTML Typewriter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qFormat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unhideWhenUsed/>
    <w:qFormat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qFormat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qFormat/>
    <w:uiPriority w:val="5"/>
    <w:rPr>
      <w:vertAlign w:val="superscript"/>
      <w:lang w:val="es-ES"/>
    </w:rPr>
  </w:style>
  <w:style w:type="character" w:styleId="247">
    <w:name w:val="HTML Keyboard"/>
    <w:semiHidden/>
    <w:unhideWhenUsed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qFormat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qFormat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qFormat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qFormat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qFormat/>
    <w:uiPriority w:val="5"/>
    <w:pPr>
      <w:ind w:left="567" w:right="567" w:firstLine="0"/>
    </w:pPr>
  </w:style>
  <w:style w:type="character" w:customStyle="1" w:styleId="270">
    <w:name w:val="Header Char"/>
    <w:link w:val="58"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qFormat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uiPriority w:val="49"/>
  </w:style>
  <w:style w:type="character" w:customStyle="1" w:styleId="289">
    <w:name w:val="Body Text First Indent Char"/>
    <w:link w:val="86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qFormat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f7bacae2-dd7c-44b8-815b-5b629b99031c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06C9BC7B-C144-4490-AB7D-119CC54B48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489</Words>
  <Characters>2860</Characters>
  <Lines>60</Lines>
  <Paragraphs>34</Paragraphs>
  <TotalTime>0</TotalTime>
  <ScaleCrop>false</ScaleCrop>
  <LinksUpToDate>false</LinksUpToDate>
  <CharactersWithSpaces>3303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2025-06-17T12:22:00Z</dcterms:created>
  <dc:description>LDIMD - DTU</dc:description>
  <dcterms:modified xsi:type="dcterms:W3CDTF">2025-07-30T12:56:01Z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E774E8D88CDD46DF9D186104A3641371_12</vt:lpwstr>
  </property>
</Properties>
</file>