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DC801">
      <w:pPr>
        <w:pStyle w:val="84"/>
        <w:rPr>
          <w:caps w:val="0"/>
          <w:kern w:val="0"/>
        </w:rPr>
      </w:pPr>
      <w:r>
        <w:rPr>
          <w:caps w:val="0"/>
          <w:kern w:val="0"/>
        </w:rPr>
        <w:t>NOTIFICATION</w:t>
      </w:r>
    </w:p>
    <w:p w14:paraId="1A9ECB9C">
      <w:pPr>
        <w:jc w:val="center"/>
      </w:pPr>
      <w:r>
        <w:t>The following notification is being circulated in accordance with Article 10.6</w:t>
      </w:r>
    </w:p>
    <w:p w14:paraId="58F5D77E"/>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12AC64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A58E2F9">
            <w:pPr>
              <w:spacing w:before="120" w:after="120"/>
              <w:jc w:val="left"/>
            </w:pPr>
            <w:r>
              <w:rPr>
                <w:b/>
              </w:rPr>
              <w:t>1.</w:t>
            </w:r>
          </w:p>
        </w:tc>
        <w:tc>
          <w:tcPr>
            <w:tcW w:w="8546" w:type="dxa"/>
            <w:tcBorders>
              <w:bottom w:val="single" w:color="auto" w:sz="6" w:space="0"/>
            </w:tcBorders>
            <w:shd w:val="clear" w:color="auto" w:fill="auto"/>
          </w:tcPr>
          <w:p w14:paraId="6F08615E">
            <w:pPr>
              <w:spacing w:before="120" w:after="120"/>
            </w:pPr>
            <w:r>
              <w:rPr>
                <w:b/>
              </w:rPr>
              <w:t>Notifying Member:</w:t>
            </w:r>
            <w:r>
              <w:t xml:space="preserve"> </w:t>
            </w:r>
            <w:r>
              <w:rPr>
                <w:u w:val="single"/>
              </w:rPr>
              <w:t>JORDAN</w:t>
            </w:r>
          </w:p>
          <w:p w14:paraId="2F8C371B">
            <w:pPr>
              <w:spacing w:after="120"/>
            </w:pPr>
            <w:r>
              <w:rPr>
                <w:b/>
              </w:rPr>
              <w:t>If applicable, name of local government involved (Article 3.2 and 7.2):</w:t>
            </w:r>
            <w:r>
              <w:t xml:space="preserve"> </w:t>
            </w:r>
          </w:p>
        </w:tc>
      </w:tr>
      <w:tr w14:paraId="3B8823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1053F80">
            <w:pPr>
              <w:spacing w:before="120" w:after="120"/>
              <w:jc w:val="left"/>
            </w:pPr>
            <w:r>
              <w:rPr>
                <w:b/>
              </w:rPr>
              <w:t>2.</w:t>
            </w:r>
          </w:p>
        </w:tc>
        <w:tc>
          <w:tcPr>
            <w:tcW w:w="8546" w:type="dxa"/>
            <w:tcBorders>
              <w:top w:val="single" w:color="auto" w:sz="6" w:space="0"/>
              <w:bottom w:val="single" w:color="auto" w:sz="6" w:space="0"/>
            </w:tcBorders>
            <w:shd w:val="clear" w:color="auto" w:fill="auto"/>
          </w:tcPr>
          <w:p w14:paraId="5161E3B2">
            <w:pPr>
              <w:spacing w:before="120" w:after="120"/>
            </w:pPr>
            <w:r>
              <w:rPr>
                <w:b/>
              </w:rPr>
              <w:t>Agency responsible:</w:t>
            </w:r>
            <w:r>
              <w:t xml:space="preserve"> </w:t>
            </w:r>
          </w:p>
          <w:p w14:paraId="61F045EF">
            <w:r>
              <w:t>Jordan Standards and Metrology Organization (JSMO)</w:t>
            </w:r>
          </w:p>
          <w:p w14:paraId="59B7B9DD">
            <w:r>
              <w:t>Tel: +962 6 5301225, Fax: +962 6 5301249</w:t>
            </w:r>
          </w:p>
          <w:p w14:paraId="78623D88">
            <w:r>
              <w:t xml:space="preserve">E-mail: </w:t>
            </w:r>
            <w:r>
              <w:fldChar w:fldCharType="begin"/>
            </w:r>
            <w:r>
              <w:instrText xml:space="preserve"> HYPERLINK "mailto:jsmo@jsmo.gov.jo" </w:instrText>
            </w:r>
            <w:r>
              <w:fldChar w:fldCharType="separate"/>
            </w:r>
            <w:r>
              <w:rPr>
                <w:color w:val="0000FF"/>
                <w:u w:val="single"/>
              </w:rPr>
              <w:t>jsmo@jsmo.gov.jo</w:t>
            </w:r>
            <w:r>
              <w:rPr>
                <w:color w:val="0000FF"/>
                <w:u w:val="single"/>
              </w:rPr>
              <w:fldChar w:fldCharType="end"/>
            </w:r>
          </w:p>
          <w:p w14:paraId="7ED15D9C">
            <w:pPr>
              <w:spacing w:after="120"/>
              <w:rPr>
                <w:color w:val="0000FF"/>
                <w:u w:val="single"/>
              </w:rPr>
            </w:pPr>
            <w:r>
              <w:t xml:space="preserve">Website: </w:t>
            </w:r>
            <w:r>
              <w:fldChar w:fldCharType="begin"/>
            </w:r>
            <w:r>
              <w:instrText xml:space="preserve"> HYPERLINK "http://www.jsmo.gov.jo/" \t "_blank" </w:instrText>
            </w:r>
            <w:r>
              <w:fldChar w:fldCharType="separate"/>
            </w:r>
            <w:r>
              <w:rPr>
                <w:color w:val="0000FF"/>
                <w:u w:val="single"/>
              </w:rPr>
              <w:t>http://www.jsmo.gov.jo/</w:t>
            </w:r>
            <w:r>
              <w:rPr>
                <w:color w:val="0000FF"/>
                <w:u w:val="single"/>
              </w:rPr>
              <w:fldChar w:fldCharType="end"/>
            </w:r>
          </w:p>
          <w:p w14:paraId="513A1017">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2136D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D96E6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606C9EC2">
            <w:pPr>
              <w:spacing w:before="120" w:after="120"/>
            </w:pPr>
            <w:r>
              <w:rPr>
                <w:b/>
              </w:rPr>
              <w:t>Notified under Article 2.9.2 [X], 2.10.1 [ ], 5.6.2 [ ], 5.7.1 [ ], 3.2 [ ], 7.2 [ ], other:</w:t>
            </w:r>
            <w:r>
              <w:t xml:space="preserve"> </w:t>
            </w:r>
          </w:p>
        </w:tc>
      </w:tr>
      <w:tr w14:paraId="14BAC9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65CFC3">
            <w:pPr>
              <w:spacing w:before="120" w:after="120"/>
              <w:jc w:val="left"/>
            </w:pPr>
            <w:r>
              <w:rPr>
                <w:b/>
              </w:rPr>
              <w:t>4.</w:t>
            </w:r>
          </w:p>
        </w:tc>
        <w:tc>
          <w:tcPr>
            <w:tcW w:w="8546" w:type="dxa"/>
            <w:tcBorders>
              <w:top w:val="single" w:color="auto" w:sz="6" w:space="0"/>
              <w:bottom w:val="single" w:color="auto" w:sz="6" w:space="0"/>
            </w:tcBorders>
            <w:shd w:val="clear" w:color="auto" w:fill="auto"/>
          </w:tcPr>
          <w:p w14:paraId="22E05F75">
            <w:pPr>
              <w:spacing w:before="120" w:after="120"/>
            </w:pPr>
            <w:r>
              <w:rPr>
                <w:b/>
              </w:rPr>
              <w:t>Products covered (HS or CCCN where applicable, otherwise national tariff heading. ICS numbers may be provided in addition, where applicable):</w:t>
            </w:r>
            <w:r>
              <w:t xml:space="preserve"> Non-alcoholic beverages (ICS code(s): 67.160.20)</w:t>
            </w:r>
          </w:p>
        </w:tc>
      </w:tr>
      <w:tr w14:paraId="1DA3EAE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CFE2C0">
            <w:pPr>
              <w:spacing w:before="120" w:after="120"/>
              <w:jc w:val="left"/>
            </w:pPr>
            <w:r>
              <w:rPr>
                <w:b/>
              </w:rPr>
              <w:t>5.</w:t>
            </w:r>
          </w:p>
        </w:tc>
        <w:tc>
          <w:tcPr>
            <w:tcW w:w="8546" w:type="dxa"/>
            <w:tcBorders>
              <w:top w:val="single" w:color="auto" w:sz="6" w:space="0"/>
              <w:bottom w:val="single" w:color="auto" w:sz="6" w:space="0"/>
            </w:tcBorders>
            <w:shd w:val="clear" w:color="auto" w:fill="auto"/>
          </w:tcPr>
          <w:p w14:paraId="0948BFC4">
            <w:pPr>
              <w:spacing w:before="120" w:after="120"/>
            </w:pPr>
            <w:r>
              <w:rPr>
                <w:b/>
              </w:rPr>
              <w:t>Title, number of pages and language(s) of the notified document:</w:t>
            </w:r>
            <w:r>
              <w:t xml:space="preserve">  Drinks and juices - Non -Alcoholic Malt beverage; (6 page(s), in Arabic)</w:t>
            </w:r>
          </w:p>
        </w:tc>
      </w:tr>
      <w:tr w14:paraId="6B43DE3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476FE47">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15945C96">
            <w:pPr>
              <w:spacing w:before="120" w:after="120"/>
            </w:pPr>
            <w:r>
              <w:rPr>
                <w:b/>
              </w:rPr>
              <w:t>Description of content:</w:t>
            </w:r>
            <w:r>
              <w:t xml:space="preserve"> This Jordanian Standard specifies the requirements that must be met in non-alcoholic malt beverages intended for direct human consumption.</w:t>
            </w:r>
          </w:p>
        </w:tc>
      </w:tr>
      <w:tr w14:paraId="62A36D8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5B153FA">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1EEF6FDE">
            <w:pPr>
              <w:spacing w:before="120" w:after="120"/>
              <w:rPr>
                <w:b/>
              </w:rPr>
            </w:pPr>
            <w:r>
              <w:rPr>
                <w:b/>
              </w:rPr>
              <w:t>Objective and rationale, including the nature of urgent problems where applicable:</w:t>
            </w:r>
            <w:r>
              <w:t xml:space="preserve"> · Facilitation of trade by removing technical barriers; Prevention of deceptive practices and consumer protection; Protection of human health or safety; Harmonization</w:t>
            </w:r>
          </w:p>
        </w:tc>
      </w:tr>
      <w:tr w14:paraId="3140AA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2AD40F0">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328685D5">
            <w:pPr>
              <w:spacing w:before="120" w:after="120"/>
              <w:rPr>
                <w:bCs/>
              </w:rPr>
            </w:pPr>
            <w:r>
              <w:rPr>
                <w:b/>
              </w:rPr>
              <w:t>Relevant documents:</w:t>
            </w:r>
            <w:r>
              <w:t xml:space="preserve"> </w:t>
            </w:r>
          </w:p>
          <w:p w14:paraId="26EB5322">
            <w:pPr>
              <w:numPr>
                <w:ilvl w:val="0"/>
                <w:numId w:val="7"/>
              </w:numPr>
              <w:spacing w:before="120" w:after="120"/>
            </w:pPr>
            <w:r>
              <w:t>Gulf Standard GSO 1016/2015, Microbiological Criteria for Foodstuffs.</w:t>
            </w:r>
          </w:p>
          <w:p w14:paraId="6128C340">
            <w:pPr>
              <w:numPr>
                <w:ilvl w:val="0"/>
                <w:numId w:val="7"/>
              </w:numPr>
              <w:spacing w:before="120" w:after="120"/>
            </w:pPr>
            <w:r>
              <w:t>Gulf Standard GSO 1027/2021, Malt Beverages.</w:t>
            </w:r>
          </w:p>
          <w:p w14:paraId="5AAA7A88">
            <w:pPr>
              <w:numPr>
                <w:ilvl w:val="0"/>
                <w:numId w:val="7"/>
              </w:numPr>
              <w:spacing w:before="120" w:after="120"/>
            </w:pPr>
            <w:r>
              <w:t>Gulf Standard GSO 2538/2021, Maximum Residue Limits of Ethyl Alcohol (Ethanol) in Food.</w:t>
            </w:r>
          </w:p>
          <w:p w14:paraId="747EF660">
            <w:pPr>
              <w:numPr>
                <w:ilvl w:val="0"/>
                <w:numId w:val="7"/>
              </w:numPr>
              <w:spacing w:before="120" w:after="120"/>
            </w:pPr>
            <w:r>
              <w:t>Egyptian Standard ES 1765/2016, Non-Alcoholic Malt Beverage.</w:t>
            </w:r>
          </w:p>
          <w:p w14:paraId="4DC51818">
            <w:pPr>
              <w:spacing w:before="120" w:after="120"/>
            </w:pPr>
            <w:r>
              <w:t>Egyptian Standard ES 1797/2016, Flavored Carbonated Non-Alcoholic Malt Beverage.</w:t>
            </w:r>
          </w:p>
        </w:tc>
      </w:tr>
      <w:tr w14:paraId="6AD008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8CDF7B0">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49F67201">
            <w:pPr>
              <w:spacing w:before="120" w:after="120"/>
            </w:pPr>
            <w:r>
              <w:rPr>
                <w:b/>
              </w:rPr>
              <w:t>Proposed date of adoption:</w:t>
            </w:r>
            <w:r>
              <w:t xml:space="preserve"> 1 December 2025</w:t>
            </w:r>
          </w:p>
          <w:p w14:paraId="08C10177">
            <w:pPr>
              <w:spacing w:after="120"/>
            </w:pPr>
            <w:r>
              <w:rPr>
                <w:b/>
              </w:rPr>
              <w:t>Proposed date of entry into force:</w:t>
            </w:r>
            <w:r>
              <w:t xml:space="preserve"> 1 March 2026</w:t>
            </w:r>
          </w:p>
        </w:tc>
      </w:tr>
      <w:tr w14:paraId="287C7B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9ECA184">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405CEFF">
            <w:pPr>
              <w:spacing w:before="120" w:after="120"/>
              <w:rPr>
                <w:rFonts w:hint="eastAsia" w:eastAsia="宋体"/>
                <w:bCs/>
                <w:lang w:eastAsia="zh-CN"/>
              </w:rPr>
            </w:pPr>
            <w:r>
              <w:rPr>
                <w:b/>
              </w:rPr>
              <w:t>Final date for comments:</w:t>
            </w:r>
            <w:r>
              <w:t xml:space="preserve"> 28 September 2025</w:t>
            </w:r>
            <w:r>
              <w:rPr>
                <w:rFonts w:hint="eastAsia" w:eastAsia="宋体"/>
                <w:lang w:eastAsia="zh-CN"/>
              </w:rPr>
              <w:t>；</w:t>
            </w:r>
          </w:p>
          <w:p w14:paraId="3DE2D2FF">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bookmarkStart w:id="10" w:name="_GoBack"/>
            <w:bookmarkEnd w:id="10"/>
          </w:p>
          <w:p w14:paraId="41C5499E">
            <w:pPr>
              <w:spacing w:before="120" w:after="120"/>
            </w:pPr>
            <w:r>
              <w:rPr>
                <w:b/>
                <w:bCs/>
              </w:rPr>
              <w:t>Contact details of agency or authority designated to handle comments regarding the notification:</w:t>
            </w:r>
            <w:r>
              <w:t xml:space="preserve"> </w:t>
            </w:r>
          </w:p>
          <w:p w14:paraId="48A60917">
            <w:r>
              <w:t>Jordan Standards and Metrology Organization (JSMO)</w:t>
            </w:r>
          </w:p>
          <w:p w14:paraId="24B79744">
            <w:r>
              <w:t>WTO/TBT Enquiry Point</w:t>
            </w:r>
          </w:p>
          <w:p w14:paraId="3232D25D">
            <w:r>
              <w:t>Tel: +962 6 5301225</w:t>
            </w:r>
          </w:p>
          <w:p w14:paraId="62BCF846">
            <w:r>
              <w:t>Fax: +962 6 5301249</w:t>
            </w:r>
          </w:p>
          <w:p w14:paraId="04EA96F4">
            <w:pPr>
              <w:tabs>
                <w:tab w:val="left" w:pos="1418"/>
                <w:tab w:val="left" w:pos="2127"/>
                <w:tab w:val="left" w:pos="2835"/>
                <w:tab w:val="left" w:pos="4664"/>
              </w:tabs>
              <w:spacing w:before="120" w:after="120"/>
              <w:rPr>
                <w:rFonts w:hint="eastAsia" w:eastAsia="宋体"/>
                <w:lang w:eastAsia="zh-CN"/>
              </w:rPr>
            </w:pPr>
            <w:r>
              <w:t xml:space="preserve">E-mail: </w:t>
            </w:r>
            <w:r>
              <w:fldChar w:fldCharType="begin"/>
            </w:r>
            <w:r>
              <w:instrText xml:space="preserve"> HYPERLINK "mailto:enquiry@jsmo.gov.jo" </w:instrText>
            </w:r>
            <w:r>
              <w:fldChar w:fldCharType="separate"/>
            </w:r>
            <w:r>
              <w:rPr>
                <w:color w:val="0000FF"/>
                <w:u w:val="single"/>
              </w:rPr>
              <w:t>enquiry@jsmo.gov.jo</w:t>
            </w:r>
            <w:r>
              <w:rPr>
                <w:color w:val="0000FF"/>
                <w:u w:val="single"/>
              </w:rPr>
              <w:fldChar w:fldCharType="end"/>
            </w:r>
            <w:r>
              <w:t xml:space="preserve"> </w:t>
            </w:r>
            <w:r>
              <w:rPr>
                <w:rFonts w:hint="eastAsia" w:eastAsia="宋体"/>
                <w:lang w:eastAsia="zh-CN"/>
              </w:rPr>
              <w:tab/>
            </w:r>
          </w:p>
        </w:tc>
      </w:tr>
      <w:tr w14:paraId="1335422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A99A999">
            <w:pPr>
              <w:keepNext/>
              <w:keepLines/>
              <w:spacing w:before="120" w:after="120"/>
              <w:jc w:val="left"/>
              <w:rPr>
                <w:b/>
              </w:rPr>
            </w:pPr>
            <w:r>
              <w:rPr>
                <w:b/>
              </w:rPr>
              <w:t>11.</w:t>
            </w:r>
          </w:p>
        </w:tc>
        <w:tc>
          <w:tcPr>
            <w:tcW w:w="8546" w:type="dxa"/>
            <w:tcBorders>
              <w:top w:val="single" w:color="auto" w:sz="6" w:space="0"/>
            </w:tcBorders>
            <w:shd w:val="clear" w:color="auto" w:fill="auto"/>
          </w:tcPr>
          <w:p w14:paraId="040C27DB">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6C874D1F">
            <w:pPr>
              <w:keepNext/>
              <w:keepLines/>
              <w:numPr>
                <w:ilvl w:val="0"/>
                <w:numId w:val="0"/>
              </w:numPr>
              <w:pBdr>
                <w:top w:val="none" w:color="auto" w:sz="0" w:space="4"/>
              </w:pBdr>
              <w:spacing w:after="120"/>
              <w:rPr>
                <w:bCs/>
              </w:rPr>
            </w:pPr>
            <w:r>
              <w:fldChar w:fldCharType="begin"/>
            </w:r>
            <w:r>
              <w:instrText xml:space="preserve"> HYPERLINK "https://jsmo.gov.jo/EBV4.0/Root_Storage/AR/EB_UsefullLinks/%D8%B4%D8%B1%D8%A7%D8%A8_%D8%A7%D9%84%D8%B4%D8%B9%D9%8A%D8%B1_%D8%A7%D9%84%D8%AE%D8%A7%D9%84%D9%8A_%D9%85%D9%86_%D8%A7%D9%84%D9%83%D8%AD%D9%88%D9%84.pdf" \t "_blank" </w:instrText>
            </w:r>
            <w:r>
              <w:fldChar w:fldCharType="separate"/>
            </w:r>
            <w:r>
              <w:rPr>
                <w:iCs/>
                <w:color w:val="0000FF"/>
                <w:u w:val="single"/>
              </w:rPr>
              <w:t>https://jsmo.gov.jo/EBV4.0/Root_Storage/AR/EB_UsefullLinks/%D8%B4%D8%B1%D8%A7%D8%A8_%D8%A7%D9%84%D8%B4%D8%B9%D9%8A%D8%B1_%D8%A7%D9%84%D8%AE%D8%A7%D9%84%D9%8A_%D9%85%D9%86_%D8%A7%D9%84%D9%83%D8%AD%D9%88%D9%84.pdf</w:t>
            </w:r>
            <w:r>
              <w:rPr>
                <w:iCs/>
                <w:color w:val="0000FF"/>
                <w:u w:val="single"/>
              </w:rPr>
              <w:fldChar w:fldCharType="end"/>
            </w:r>
          </w:p>
        </w:tc>
      </w:tr>
    </w:tbl>
    <w:p w14:paraId="62364D63"/>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08E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627BA">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2BF4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DB6C9">
    <w:pPr>
      <w:pStyle w:val="58"/>
      <w:pBdr>
        <w:bottom w:val="single" w:color="auto" w:sz="4" w:space="1"/>
      </w:pBdr>
      <w:tabs>
        <w:tab w:val="clear" w:pos="4513"/>
        <w:tab w:val="clear" w:pos="9027"/>
      </w:tabs>
      <w:jc w:val="center"/>
    </w:pPr>
    <w:bookmarkStart w:id="9" w:name="spsSymbolHeader"/>
    <w:r>
      <w:t>G/TBT/N/JOR/63</w:t>
    </w:r>
    <w:bookmarkEnd w:id="9"/>
  </w:p>
  <w:p w14:paraId="412A39A0">
    <w:pPr>
      <w:pStyle w:val="58"/>
      <w:pBdr>
        <w:bottom w:val="single" w:color="auto" w:sz="4" w:space="1"/>
      </w:pBdr>
      <w:tabs>
        <w:tab w:val="clear" w:pos="4513"/>
        <w:tab w:val="clear" w:pos="9027"/>
      </w:tabs>
      <w:jc w:val="center"/>
    </w:pPr>
  </w:p>
  <w:p w14:paraId="0BF18BA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C87B8B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19B0D">
    <w:pPr>
      <w:pStyle w:val="58"/>
      <w:pBdr>
        <w:bottom w:val="single" w:color="auto" w:sz="4" w:space="1"/>
      </w:pBdr>
      <w:tabs>
        <w:tab w:val="clear" w:pos="4513"/>
        <w:tab w:val="clear" w:pos="9027"/>
      </w:tabs>
      <w:jc w:val="center"/>
    </w:pPr>
    <w:r>
      <w:t>tbtSymbol</w:t>
    </w:r>
  </w:p>
  <w:p w14:paraId="67F614F7">
    <w:pPr>
      <w:pStyle w:val="58"/>
      <w:pBdr>
        <w:bottom w:val="single" w:color="auto" w:sz="4" w:space="1"/>
      </w:pBdr>
      <w:tabs>
        <w:tab w:val="clear" w:pos="4513"/>
        <w:tab w:val="clear" w:pos="9027"/>
      </w:tabs>
      <w:jc w:val="center"/>
    </w:pPr>
  </w:p>
  <w:p w14:paraId="668F405D">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0A51A8F">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12269E79">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6B8F3E5">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3071A07D">
          <w:pPr>
            <w:jc w:val="right"/>
            <w:rPr>
              <w:b/>
              <w:color w:val="FF0000"/>
              <w:szCs w:val="16"/>
            </w:rPr>
          </w:pPr>
        </w:p>
      </w:tc>
    </w:tr>
    <w:bookmarkEnd w:id="0"/>
    <w:tr w14:paraId="67A9884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6E9A513C">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12B5D5D">
          <w:pPr>
            <w:jc w:val="right"/>
            <w:rPr>
              <w:b/>
              <w:szCs w:val="16"/>
            </w:rPr>
          </w:pPr>
        </w:p>
      </w:tc>
    </w:tr>
    <w:tr w14:paraId="69C6DCD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DDE27A4">
          <w:pPr>
            <w:jc w:val="left"/>
            <w:rPr>
              <w:lang w:eastAsia="en-GB"/>
            </w:rPr>
          </w:pPr>
        </w:p>
      </w:tc>
      <w:tc>
        <w:tcPr>
          <w:tcW w:w="5448" w:type="dxa"/>
          <w:gridSpan w:val="2"/>
          <w:shd w:val="clear" w:color="auto" w:fill="FFFFFF"/>
          <w:tcMar>
            <w:left w:w="108" w:type="dxa"/>
            <w:right w:w="108" w:type="dxa"/>
          </w:tcMar>
        </w:tcPr>
        <w:p w14:paraId="7EA3B795">
          <w:pPr>
            <w:jc w:val="right"/>
            <w:rPr>
              <w:rFonts w:hint="eastAsia" w:eastAsia="宋体"/>
              <w:b/>
              <w:szCs w:val="16"/>
              <w:lang w:eastAsia="zh-CN"/>
            </w:rPr>
          </w:pPr>
          <w:bookmarkStart w:id="1" w:name="bmkSymbols"/>
          <w:r>
            <w:rPr>
              <w:b/>
              <w:szCs w:val="16"/>
            </w:rPr>
            <w:t>G/TBT/N/JOR/6</w:t>
          </w:r>
          <w:bookmarkEnd w:id="1"/>
          <w:r>
            <w:rPr>
              <w:rFonts w:hint="eastAsia" w:eastAsia="宋体"/>
              <w:b/>
              <w:szCs w:val="16"/>
              <w:lang w:val="en-US" w:eastAsia="zh-CN"/>
            </w:rPr>
            <w:t>9</w:t>
          </w:r>
        </w:p>
      </w:tc>
    </w:tr>
    <w:tr w14:paraId="58077EA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D122A5A"/>
      </w:tc>
      <w:tc>
        <w:tcPr>
          <w:tcW w:w="5448" w:type="dxa"/>
          <w:gridSpan w:val="2"/>
          <w:shd w:val="clear" w:color="auto" w:fill="FFFFFF"/>
          <w:tcMar>
            <w:left w:w="108" w:type="dxa"/>
            <w:right w:w="108" w:type="dxa"/>
          </w:tcMar>
          <w:vAlign w:val="center"/>
        </w:tcPr>
        <w:p w14:paraId="0CEF6BCE">
          <w:pPr>
            <w:jc w:val="right"/>
            <w:rPr>
              <w:szCs w:val="16"/>
            </w:rPr>
          </w:pPr>
          <w:bookmarkStart w:id="2" w:name="spsDateDistribution"/>
          <w:bookmarkStart w:id="3" w:name="bmkDate"/>
          <w:r>
            <w:rPr>
              <w:rFonts w:hint="eastAsia" w:eastAsia="宋体"/>
              <w:szCs w:val="16"/>
              <w:lang w:val="en-US" w:eastAsia="zh-CN"/>
            </w:rPr>
            <w:t>30</w:t>
          </w:r>
          <w:r>
            <w:rPr>
              <w:szCs w:val="16"/>
            </w:rPr>
            <w:t xml:space="preserve"> July 2025</w:t>
          </w:r>
          <w:bookmarkEnd w:id="2"/>
          <w:bookmarkEnd w:id="3"/>
        </w:p>
      </w:tc>
    </w:tr>
    <w:tr w14:paraId="4ED8B641">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29284B7">
          <w:pPr>
            <w:jc w:val="left"/>
            <w:rPr>
              <w:b/>
            </w:rPr>
          </w:pPr>
          <w:bookmarkStart w:id="4" w:name="bmkSerial"/>
          <w:r>
            <w:rPr>
              <w:b w:val="0"/>
              <w:color w:val="FF0000"/>
            </w:rPr>
            <w:t>(25-</w:t>
          </w:r>
          <w:r>
            <w:rPr>
              <w:rFonts w:hint="eastAsia" w:eastAsia="宋体"/>
              <w:b w:val="0"/>
              <w:color w:val="FF0000"/>
              <w:lang w:val="en-US" w:eastAsia="zh-CN"/>
            </w:rPr>
            <w:t>4933</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9FA353A">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39BB48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AD4C0B0">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7EF12169">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76A655C">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02155"/>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0F799A"/>
    <w:rsid w:val="0011356B"/>
    <w:rsid w:val="001157E9"/>
    <w:rsid w:val="001206E6"/>
    <w:rsid w:val="00125032"/>
    <w:rsid w:val="0013337F"/>
    <w:rsid w:val="00155128"/>
    <w:rsid w:val="001621F4"/>
    <w:rsid w:val="00182B84"/>
    <w:rsid w:val="0018646B"/>
    <w:rsid w:val="00186B9C"/>
    <w:rsid w:val="00191D12"/>
    <w:rsid w:val="001A464A"/>
    <w:rsid w:val="001B5925"/>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638"/>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575C6"/>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D5F5C"/>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41C4EDB"/>
    <w:rsid w:val="1072495A"/>
    <w:rsid w:val="10826B2D"/>
    <w:rsid w:val="51A1601F"/>
    <w:rsid w:val="572F707B"/>
    <w:rsid w:val="75CD2F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qFormat="1" w:unhideWhenUsed="0" w:uiPriority="2" w:semiHidden="0" w:name="heading 8"/>
    <w:lsdException w:unhideWhenUsed="0" w:uiPriority="2" w:semiHidden="0" w:name="heading 9"/>
    <w:lsdException w:qFormat="1" w:uiPriority="99" w:name="index 1"/>
    <w:lsdException w:qFormat="1" w:uiPriority="99" w:name="index 2"/>
    <w:lsdException w:qFormat="1" w:uiPriority="99" w:name="index 3"/>
    <w:lsdException w:qFormat="1" w:uiPriority="99" w:name="index 4"/>
    <w:lsdException w:uiPriority="99" w:name="index 5"/>
    <w:lsdException w:uiPriority="99" w:name="index 6"/>
    <w:lsdException w:qFormat="1" w:uiPriority="99" w:name="index 7"/>
    <w:lsdException w:qFormat="1" w:uiPriority="99" w:name="index 8"/>
    <w:lsdException w:uiPriority="99" w:name="index 9"/>
    <w:lsdException w:qFormat="1" w:unhideWhenUsed="0" w:uiPriority="39" w:semiHidden="0" w:name="toc 1"/>
    <w:lsdException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unhideWhenUsed="0" w:uiPriority="39" w:semiHidden="0" w:name="toc 7"/>
    <w:lsdException w:qFormat="1" w:unhideWhenUsed="0" w:uiPriority="39" w:semiHidden="0" w:name="toc 8"/>
    <w:lsdException w:unhideWhenUsed="0" w:uiPriority="39" w:semiHidden="0" w:name="toc 9"/>
    <w:lsdException w:qFormat="1" w:uiPriority="99" w:name="Normal Indent"/>
    <w:lsdException w:qFormat="1" w:unhideWhenUsed="0" w:uiPriority="5" w:semiHidden="0" w:name="footnote text"/>
    <w:lsdException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unhideWhenUsed="0" w:uiPriority="39" w:semiHidden="0" w:name="table of figures"/>
    <w:lsdException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uiPriority="39" w:semiHidden="0" w:name="toa heading"/>
    <w:lsdException w:qFormat="1" w:uiPriority="99" w:name="List"/>
    <w:lsdException w:unhideWhenUsed="0" w:uiPriority="1" w:semiHidden="0" w:name="List Bullet"/>
    <w:lsdException w:uiPriority="49" w:name="List Number"/>
    <w:lsdException w:uiPriority="99" w:name="List 2"/>
    <w:lsdException w:uiPriority="99" w:name="List 3"/>
    <w:lsdException w:uiPriority="99" w:name="List 4"/>
    <w:lsdException w:qFormat="1" w:uiPriority="99" w:name="List 5"/>
    <w:lsdException w:qFormat="1" w:unhideWhenUsed="0" w:uiPriority="1" w:semiHidden="0" w:name="List Bullet 2"/>
    <w:lsdException w:qFormat="1" w:unhideWhenUsed="0" w:uiPriority="1" w:semiHidden="0" w:name="List Bullet 3"/>
    <w:lsdException w:unhideWhenUsed="0" w:uiPriority="1" w:semiHidden="0" w:name="List Bullet 4"/>
    <w:lsdException w:qFormat="1" w:unhideWhenUsed="0" w:uiPriority="1" w:semiHidden="0" w:name="List Bullet 5"/>
    <w:lsdException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uiPriority="99" w:name="Closing"/>
    <w:lsdException w:qFormat="1" w:uiPriority="99" w:name="Signature"/>
    <w:lsdException w:qFormat="1" w:uiPriority="1" w:name="Default Paragraph Font"/>
    <w:lsdException w:qFormat="1" w:unhideWhenUsed="0" w:uiPriority="1" w:semiHidden="0" w:name="Body Text"/>
    <w:lsdException w:uiPriority="99" w:name="Body Text Indent"/>
    <w:lsdException w:qFormat="1" w:uiPriority="99" w:name="List Continue"/>
    <w:lsdException w:qFormat="1" w:uiPriority="99" w:name="List Continue 2"/>
    <w:lsdException w:uiPriority="99" w:name="List Continue 3"/>
    <w:lsdException w:uiPriority="99" w:name="List Continue 4"/>
    <w:lsdException w:qFormat="1" w:uiPriority="99" w:name="List Continue 5"/>
    <w:lsdException w:qFormat="1" w:uiPriority="99" w:name="Message Header"/>
    <w:lsdException w:qFormat="1" w:unhideWhenUsed="0" w:uiPriority="6"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qFormat="1" w:unhideWhenUsed="0" w:uiPriority="1" w:semiHidden="0" w:name="Body Text 2"/>
    <w:lsdException w:qFormat="1" w:unhideWhenUsed="0" w:uiPriority="1" w:semiHidden="0" w:name="Body Text 3"/>
    <w:lsdException w:qFormat="1" w:uiPriority="99" w:name="Body Text Indent 2"/>
    <w:lsdException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qFormat="1" w:uiPriority="99" w:name="HTML Address"/>
    <w:lsdException w:qFormat="1" w:uiPriority="99" w:name="HTML Cite"/>
    <w:lsdException w:uiPriority="99" w:name="HTML Code"/>
    <w:lsdException w:uiPriority="99" w:name="HTML Definition"/>
    <w:lsdException w:qFormat="1"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uiPriority="99" w:name="Table List 1"/>
    <w:lsdException w:qFormat="1" w:uiPriority="99" w:name="Table List 2"/>
    <w:lsdException w:qFormat="1" w:uiPriority="99" w:name="Table List 3"/>
    <w:lsdException w:uiPriority="99" w:name="Table List 4"/>
    <w:lsdException w:qFormat="1"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qFormat="1" w:uiPriority="99" w:name="Table 3D effects 3"/>
    <w:lsdException w:uiPriority="99" w:name="Table Contemporary"/>
    <w:lsdException w:uiPriority="99" w:name="Table Elegant"/>
    <w:lsdException w:qFormat="1" w:uiPriority="99" w:name="Table Professional"/>
    <w:lsdException w:qFormat="1" w:uiPriority="99" w:name="Table Subtle 1"/>
    <w:lsdException w:uiPriority="99" w:name="Table Subtle 2"/>
    <w:lsdException w:qFormat="1" w:uiPriority="99" w:name="Table Web 1"/>
    <w:lsdException w:qFormat="1" w:uiPriority="99" w:name="Table Web 2"/>
    <w:lsdException w:qFormat="1"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qFormat="1" w:unhideWhenUsed="0" w:uiPriority="71" w:semiHidden="0" w:name="Colorful Shading Accent 1"/>
    <w:lsdException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qFormat="1" w:unhideWhenUsed="0" w:uiPriority="65" w:semiHidden="0" w:name="Medium List 1 Accent 3"/>
    <w:lsdException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unhideWhenUsed="0" w:uiPriority="63" w:semiHidden="0" w:name="Medium Shading 1 Accent 5"/>
    <w:lsdException w:qFormat="1" w:unhideWhenUsed="0" w:uiPriority="64" w:semiHidden="0" w:name="Medium Shading 2 Accent 5"/>
    <w:lsdException w:unhideWhenUsed="0" w:uiPriority="65" w:semiHidden="0" w:name="Medium List 1 Accent 5"/>
    <w:lsdException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unhideWhenUsed="0" w:uiPriority="64" w:semiHidden="0" w:name="Medium Shading 2 Accent 6"/>
    <w:lsdException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E8598-CBE8-4D6A-A9FB-59FB0E998836}">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330</Words>
  <Characters>2049</Characters>
  <Lines>22</Lines>
  <Paragraphs>6</Paragraphs>
  <TotalTime>0</TotalTime>
  <ScaleCrop>false</ScaleCrop>
  <LinksUpToDate>false</LinksUpToDate>
  <CharactersWithSpaces>2344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2025-06-16T10:21:00Z</dcterms:created>
  <dc:creator>mark louie medidas</dc:creator>
  <dc:description>LDIMD - DTU</dc:description>
  <cp:lastModifiedBy> 譞譞</cp:lastModifiedBy>
  <dcterms:modified xsi:type="dcterms:W3CDTF">2025-07-30T15:30:52Z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1A8355E6E473477A99C363EC416346DD_12</vt:lpwstr>
  </property>
</Properties>
</file>