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04119653" w14:textId="77777777">
      <w:pPr>
        <w:pStyle w:val="Title"/>
      </w:pPr>
      <w:r w:rsidRPr="002F663C">
        <w:t>NOTIFICATION</w:t>
      </w:r>
    </w:p>
    <w:p w:rsidR="002F663C" w:rsidRPr="002F663C" w:rsidP="00DD3DD7" w14:paraId="31C09E55" w14:textId="77777777">
      <w:pPr>
        <w:pStyle w:val="Title3"/>
      </w:pPr>
      <w:r w:rsidRPr="002F663C">
        <w:t>Addendum</w:t>
      </w:r>
    </w:p>
    <w:p w:rsidR="002F663C" w:rsidP="001E2E4A" w14:paraId="4586F4DA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29 July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Canada</w:t>
      </w:r>
      <w:r w:rsidRPr="002F663C">
        <w:rPr>
          <w:rFonts w:eastAsia="Calibri" w:cs="Times New Roman"/>
        </w:rPr>
        <w:t>.</w:t>
      </w:r>
    </w:p>
    <w:p w:rsidR="001E2E4A" w:rsidRPr="002F663C" w:rsidP="001E2E4A" w14:paraId="656C1E18" w14:textId="77777777">
      <w:pPr>
        <w:rPr>
          <w:rFonts w:eastAsia="Calibri" w:cs="Times New Roman"/>
        </w:rPr>
      </w:pPr>
    </w:p>
    <w:p w:rsidR="002F663C" w:rsidRPr="002F663C" w:rsidP="002F663C" w14:paraId="7FCB62D2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389B05E7" w14:textId="77777777">
      <w:pPr>
        <w:rPr>
          <w:rFonts w:eastAsia="Calibri" w:cs="Times New Roman"/>
        </w:rPr>
      </w:pPr>
    </w:p>
    <w:p w:rsidR="00C14444" w:rsidRPr="002F663C" w:rsidP="002F663C" w14:paraId="2E3E5340" w14:textId="77777777">
      <w:pPr>
        <w:rPr>
          <w:rFonts w:eastAsia="Calibri" w:cs="Times New Roman"/>
        </w:rPr>
      </w:pPr>
    </w:p>
    <w:p w:rsidR="002F663C" w:rsidRPr="002F663C" w:rsidP="002F663C" w14:paraId="280C7A0B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Publication of RSS-193, Issue 1 – Flexible Use Broadband Equipment Operating in the Band 27.5-28.35 GHz</w:t>
      </w:r>
    </w:p>
    <w:p w:rsidR="002F663C" w:rsidRPr="002F663C" w:rsidP="002F663C" w14:paraId="01B2CFE4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39A98ABE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43DE13C7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1B8390F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83C7683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029B511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1A98A9D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15E106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30A73B3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11 July 2025</w:t>
            </w:r>
          </w:p>
        </w:tc>
      </w:tr>
      <w:tr w14:paraId="3D5DC15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DB881A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5A53011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11 July 2025</w:t>
            </w:r>
          </w:p>
        </w:tc>
      </w:tr>
      <w:tr w14:paraId="27637AD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0CE4B3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15277FE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11 July 2025</w:t>
            </w:r>
          </w:p>
        </w:tc>
      </w:tr>
      <w:tr w14:paraId="5407178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E6D735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EB7B40" w14:paraId="37EE782B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5284DFDD" w14:textId="77777777">
            <w:pPr>
              <w:spacing w:before="120" w:after="120"/>
              <w:rPr>
                <w:rFonts w:eastAsia="Calibri" w:cs="Times New Roman"/>
              </w:rPr>
            </w:pPr>
            <w:r w:rsidRPr="002F663C">
              <w:rPr>
                <w:rFonts w:eastAsia="Calibri" w:cs="Times New Roman"/>
              </w:rPr>
              <w:t>RSS-193 — Flexible Use Broadband Equipment Operating in the Band 27.5-28.35 GHz</w:t>
            </w:r>
          </w:p>
          <w:p w:rsidR="002F663C" w:rsidRPr="002F663C" w:rsidP="00EB7B40" w14:paraId="4E8CFDBF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https://ised-isde.canada.ca/site/spectrum-management-telecommunications/en/devices-and-equipment/radio-equipment-standards/rss-193-flexible-use-broadband-equipment-operating-band-275-2835-ghz</w:t>
              </w:r>
            </w:hyperlink>
            <w:r w:rsidRPr="002F663C" w:rsidR="00247485">
              <w:rPr>
                <w:rFonts w:eastAsia="Calibri" w:cs="Times New Roman"/>
              </w:rPr>
              <w:t xml:space="preserve"> (English)</w:t>
            </w:r>
          </w:p>
          <w:p w:rsidR="002F663C" w:rsidRPr="002F663C" w:rsidP="00EB7B40" w14:paraId="11EF67C6" w14:textId="77777777">
            <w:pPr>
              <w:spacing w:before="120" w:after="120"/>
              <w:rPr>
                <w:rFonts w:eastAsia="Calibri" w:cs="Times New Roman"/>
              </w:rPr>
            </w:pPr>
            <w:hyperlink r:id="rId8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https://ised-isde.canada.ca/site/gestion-spectre-telecommunications/fr/dispositifs-materiel/normes-applicables-materiel-radio/cnr-193-materiel-large-bande-utilisation-flexible-exploite-dans-bande-275-2835-ghz</w:t>
              </w:r>
            </w:hyperlink>
            <w:r w:rsidRPr="002F663C" w:rsidR="00247485">
              <w:rPr>
                <w:rFonts w:eastAsia="Calibri" w:cs="Times New Roman"/>
              </w:rPr>
              <w:t xml:space="preserve"> (French)</w:t>
            </w:r>
          </w:p>
          <w:p w:rsidR="002F663C" w:rsidRPr="002F663C" w:rsidP="00EB7B40" w14:paraId="286CD32C" w14:textId="77777777">
            <w:pPr>
              <w:spacing w:before="120" w:after="120"/>
              <w:rPr>
                <w:rFonts w:eastAsia="Calibri" w:cs="Times New Roman"/>
              </w:rPr>
            </w:pPr>
            <w:r w:rsidRPr="002F663C">
              <w:rPr>
                <w:rFonts w:eastAsia="Calibri" w:cs="Times New Roman"/>
              </w:rPr>
              <w:t>Gazette: Notice No. SMSE-005-25 — Publication of RSS-193, Issue 1</w:t>
            </w:r>
          </w:p>
          <w:p w:rsidR="002F663C" w:rsidRPr="002F663C" w:rsidP="00EB7B40" w14:paraId="71EE1A52" w14:textId="77777777">
            <w:pPr>
              <w:spacing w:before="120" w:after="120"/>
              <w:rPr>
                <w:rFonts w:eastAsia="Calibri" w:cs="Times New Roman"/>
              </w:rPr>
            </w:pPr>
            <w:hyperlink r:id="rId9" w:anchor="ne3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https://gazette.gc.ca/rp-pr/p1/2025/2025-07-26/html/notice-avis-eng.html#ne3</w:t>
              </w:r>
            </w:hyperlink>
            <w:r w:rsidRPr="002F663C" w:rsidR="00247485">
              <w:rPr>
                <w:rFonts w:eastAsia="Calibri" w:cs="Times New Roman"/>
              </w:rPr>
              <w:t xml:space="preserve"> (English)</w:t>
            </w:r>
          </w:p>
          <w:p w:rsidR="002F663C" w:rsidRPr="002F663C" w:rsidP="00EB7B40" w14:paraId="5674A5BD" w14:textId="77777777">
            <w:pPr>
              <w:spacing w:before="120" w:after="120"/>
              <w:rPr>
                <w:rFonts w:eastAsia="Calibri" w:cs="Times New Roman"/>
              </w:rPr>
            </w:pPr>
            <w:hyperlink r:id="rId10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https://gazette.gc.ca/rp-pr/p1/2025/2025-07-26/html/notice-avis-fra.html</w:t>
              </w:r>
            </w:hyperlink>
            <w:r w:rsidRPr="002F663C" w:rsidR="00247485">
              <w:rPr>
                <w:rFonts w:eastAsia="Calibri" w:cs="Times New Roman"/>
              </w:rPr>
              <w:t xml:space="preserve"> (French)</w:t>
            </w:r>
          </w:p>
        </w:tc>
      </w:tr>
      <w:tr w14:paraId="74BE96A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F1D938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CB11F2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5203BEE1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86D55E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EA75BF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0580DD8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3BBFCECD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869B34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584768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65C4C29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4EE2921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1A0FB33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675BFC1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650A40E2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55680C78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Notice is hereby given that Innovation, Science and Economic Development Canada (ISED) has published the following document:</w:t>
      </w:r>
    </w:p>
    <w:p w:rsidR="001A611E" w:rsidRPr="002F663C" w:rsidP="00B16ACF" w14:paraId="13B346CA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Radio Standards Specification RSS-193, Issue 1, </w:t>
      </w:r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Flexible Use Broadband Equipment Operating in the Band 27.5-28.35 GHz</w:t>
        </w:r>
      </w:hyperlink>
      <w:r w:rsidRPr="002F663C">
        <w:rPr>
          <w:rFonts w:eastAsia="Calibri" w:cs="Times New Roman"/>
          <w:szCs w:val="18"/>
        </w:rPr>
        <w:t xml:space="preserve"> sets out the requirements for the certification of flexible use broadband equipment, used in fixed and/or mobile services, operating in the frequency band 27.5-28.35 GHz.</w:t>
      </w:r>
    </w:p>
    <w:p w:rsidR="006C5A96" w:rsidP="006C5A96" w14:paraId="5FAF7C23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6A3A32DD" w14:textId="77777777">
      <w:pPr>
        <w:jc w:val="center"/>
        <w:rPr>
          <w:b/>
        </w:rPr>
      </w:pPr>
    </w:p>
    <w:p w:rsidR="00A1565D" w:rsidP="003971FF" w14:paraId="55BE348E" w14:textId="77777777">
      <w:pPr>
        <w:jc w:val="center"/>
        <w:rPr>
          <w:b/>
        </w:rPr>
      </w:pPr>
    </w:p>
    <w:sectPr w:rsidSect="006C5A9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43F0F66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8C3C46F" w14:textId="7777777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B15A7" w14:paraId="337B77B8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5941F82E" w14:textId="77777777">
      <w:r>
        <w:separator/>
      </w:r>
    </w:p>
  </w:footnote>
  <w:footnote w:type="continuationSeparator" w:id="1">
    <w:p w:rsidR="004D3A6A" w:rsidP="00ED54E0" w14:paraId="31BBC182" w14:textId="77777777">
      <w:r>
        <w:continuationSeparator/>
      </w:r>
    </w:p>
  </w:footnote>
  <w:footnote w:id="2">
    <w:p w:rsidR="007F6EA2" w14:paraId="4A3C1066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6DE2ABD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2BE67D0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4457DC3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79A9412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201955C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G/TBT/N/CAN/743/Add.1</w:t>
    </w:r>
    <w:bookmarkEnd w:id="3"/>
  </w:p>
  <w:p w:rsidR="00DD3DD7" w:rsidRPr="00DD3DD7" w:rsidP="00DD3DD7" w14:paraId="06FD095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45D0C9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70B9454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718686C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FB03258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5884052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644402B8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2E6AE0E2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5421C49" w14:textId="77777777">
          <w:pPr>
            <w:jc w:val="right"/>
            <w:rPr>
              <w:b/>
              <w:szCs w:val="16"/>
            </w:rPr>
          </w:pPr>
        </w:p>
      </w:tc>
    </w:tr>
    <w:tr w14:paraId="331A43B1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02943C2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6A192711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G/TBT/N/CAN/743/Add.1</w:t>
          </w:r>
          <w:bookmarkEnd w:id="4"/>
        </w:p>
        <w:p w:rsidR="00C14444" w:rsidRPr="00C14444" w:rsidP="00C14444" w14:paraId="61FC9CDA" w14:textId="77777777">
          <w:pPr>
            <w:jc w:val="center"/>
            <w:rPr>
              <w:szCs w:val="16"/>
            </w:rPr>
          </w:pPr>
        </w:p>
      </w:tc>
    </w:tr>
    <w:tr w14:paraId="57A43B43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1A3B7B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0CCB0B7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29 July 2025</w:t>
          </w:r>
          <w:bookmarkEnd w:id="5"/>
        </w:p>
      </w:tc>
    </w:tr>
    <w:tr w14:paraId="4E150895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528270ED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(25-4896)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1330A0A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4F7F543A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7F72C26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065767D" w14:textId="5F513BC9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r>
            <w:rPr>
              <w:rFonts w:eastAsia="Calibri" w:cs="Times New Roman"/>
              <w:bCs/>
              <w:szCs w:val="18"/>
            </w:rPr>
            <w:t>/</w:t>
          </w:r>
          <w:r w:rsidRPr="002F663C">
            <w:rPr>
              <w:rFonts w:eastAsia="Calibri" w:cs="Times New Roman"/>
              <w:bCs/>
              <w:szCs w:val="18"/>
            </w:rPr>
            <w:t>French</w:t>
          </w:r>
          <w:bookmarkEnd w:id="7"/>
        </w:p>
      </w:tc>
    </w:tr>
  </w:tbl>
  <w:p w:rsidR="00ED54E0" w:rsidP="00DD3DD7" w14:paraId="62CF257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9198589">
    <w:abstractNumId w:val="9"/>
  </w:num>
  <w:num w:numId="2" w16cid:durableId="1292713116">
    <w:abstractNumId w:val="7"/>
  </w:num>
  <w:num w:numId="3" w16cid:durableId="1565214739">
    <w:abstractNumId w:val="6"/>
  </w:num>
  <w:num w:numId="4" w16cid:durableId="740715378">
    <w:abstractNumId w:val="5"/>
  </w:num>
  <w:num w:numId="5" w16cid:durableId="467088552">
    <w:abstractNumId w:val="4"/>
  </w:num>
  <w:num w:numId="6" w16cid:durableId="30309706">
    <w:abstractNumId w:val="12"/>
  </w:num>
  <w:num w:numId="7" w16cid:durableId="1700664319">
    <w:abstractNumId w:val="11"/>
  </w:num>
  <w:num w:numId="8" w16cid:durableId="1263225454">
    <w:abstractNumId w:val="10"/>
  </w:num>
  <w:num w:numId="9" w16cid:durableId="209886149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88859801">
    <w:abstractNumId w:val="13"/>
  </w:num>
  <w:num w:numId="11" w16cid:durableId="1370299539">
    <w:abstractNumId w:val="8"/>
  </w:num>
  <w:num w:numId="12" w16cid:durableId="147524776">
    <w:abstractNumId w:val="3"/>
  </w:num>
  <w:num w:numId="13" w16cid:durableId="323629750">
    <w:abstractNumId w:val="2"/>
  </w:num>
  <w:num w:numId="14" w16cid:durableId="83496682">
    <w:abstractNumId w:val="1"/>
  </w:num>
  <w:num w:numId="15" w16cid:durableId="310212553">
    <w:abstractNumId w:val="0"/>
  </w:num>
  <w:num w:numId="16" w16cid:durableId="1955363741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A60A8"/>
    <w:rsid w:val="001A611E"/>
    <w:rsid w:val="001C2A9D"/>
    <w:rsid w:val="001E291F"/>
    <w:rsid w:val="001E2E4A"/>
    <w:rsid w:val="00223DA8"/>
    <w:rsid w:val="00233408"/>
    <w:rsid w:val="00247485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312D2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B15A7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C254E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D44FA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28EFF6C"/>
  <w15:docId w15:val="{3B571316-BC73-4862-A11E-0DEB0F8A9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gazette.gc.ca/rp-pr/p1/2025/2025-07-26/html/notice-avis-fra.html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ised-isde.canada.ca/site/spectrum-management-telecommunications/en/devices-and-equipment/radio-equipment-standards/rss-193-flexible-use-broadband-equipment-operating-band-275-2835-ghz" TargetMode="External" /><Relationship Id="rId8" Type="http://schemas.openxmlformats.org/officeDocument/2006/relationships/hyperlink" Target="https://ised-isde.canada.ca/site/gestion-spectre-telecommunications/fr/dispositifs-materiel/normes-applicables-materiel-radio/cnr-193-materiel-large-bande-utilisation-flexible-exploite-dans-bande-275-2835-ghz" TargetMode="External" /><Relationship Id="rId9" Type="http://schemas.openxmlformats.org/officeDocument/2006/relationships/hyperlink" Target="https://gazette.gc.ca/rp-pr/p1/2025/2025-07-26/html/notice-avis-eng.html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2B56AC-A7F9-40CB-ABF0-FA141BFB09F0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Rivera, Marcela</cp:lastModifiedBy>
  <cp:revision>3</cp:revision>
  <cp:lastPrinted>2019-10-23T07:32:00Z</cp:lastPrinted>
  <dcterms:created xsi:type="dcterms:W3CDTF">2025-07-29T11:38:00Z</dcterms:created>
  <dcterms:modified xsi:type="dcterms:W3CDTF">2025-07-29T12:38:00Z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