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6803D0">
      <w:pPr>
        <w:pStyle w:val="84"/>
        <w:rPr>
          <w:caps w:val="0"/>
          <w:kern w:val="0"/>
        </w:rPr>
      </w:pPr>
      <w:r>
        <w:rPr>
          <w:caps w:val="0"/>
          <w:kern w:val="0"/>
        </w:rPr>
        <w:t>NOTIFICATION</w:t>
      </w:r>
    </w:p>
    <w:p w14:paraId="67670E9D">
      <w:pPr>
        <w:jc w:val="center"/>
      </w:pPr>
      <w:r>
        <w:t>The following notification is being circulated in accordance with Article 10.6</w:t>
      </w:r>
    </w:p>
    <w:p w14:paraId="77A884E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2A75377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16FEC8DE">
            <w:pPr>
              <w:spacing w:before="120" w:after="120"/>
              <w:jc w:val="left"/>
            </w:pPr>
            <w:r>
              <w:rPr>
                <w:b/>
              </w:rPr>
              <w:t>1.</w:t>
            </w:r>
          </w:p>
        </w:tc>
        <w:tc>
          <w:tcPr>
            <w:tcW w:w="8546" w:type="dxa"/>
            <w:tcBorders>
              <w:bottom w:val="single" w:color="auto" w:sz="6" w:space="0"/>
            </w:tcBorders>
            <w:shd w:val="clear" w:color="auto" w:fill="auto"/>
          </w:tcPr>
          <w:p w14:paraId="476C9C61">
            <w:pPr>
              <w:spacing w:before="120" w:after="120"/>
            </w:pPr>
            <w:r>
              <w:rPr>
                <w:b/>
              </w:rPr>
              <w:t>Notifying Member:</w:t>
            </w:r>
            <w:r>
              <w:t xml:space="preserve"> </w:t>
            </w:r>
            <w:r>
              <w:rPr>
                <w:u w:val="single"/>
              </w:rPr>
              <w:t>REPUBLIC OF KOREA</w:t>
            </w:r>
          </w:p>
          <w:p w14:paraId="2CB803C4">
            <w:pPr>
              <w:spacing w:after="120"/>
            </w:pPr>
            <w:r>
              <w:rPr>
                <w:b/>
              </w:rPr>
              <w:t>If applicable, name of local government involved (Article 3.2 and 7.2):</w:t>
            </w:r>
            <w:r>
              <w:t xml:space="preserve"> </w:t>
            </w:r>
          </w:p>
        </w:tc>
      </w:tr>
      <w:tr w14:paraId="738FE89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DDDB216">
            <w:pPr>
              <w:spacing w:before="120" w:after="120"/>
              <w:jc w:val="left"/>
            </w:pPr>
            <w:r>
              <w:rPr>
                <w:b/>
              </w:rPr>
              <w:t>2.</w:t>
            </w:r>
          </w:p>
        </w:tc>
        <w:tc>
          <w:tcPr>
            <w:tcW w:w="8546" w:type="dxa"/>
            <w:tcBorders>
              <w:top w:val="single" w:color="auto" w:sz="6" w:space="0"/>
              <w:bottom w:val="single" w:color="auto" w:sz="6" w:space="0"/>
            </w:tcBorders>
            <w:shd w:val="clear" w:color="auto" w:fill="auto"/>
          </w:tcPr>
          <w:p w14:paraId="6D05D85F">
            <w:pPr>
              <w:spacing w:before="120" w:after="120"/>
            </w:pPr>
            <w:r>
              <w:rPr>
                <w:b/>
              </w:rPr>
              <w:t>Agency responsible:</w:t>
            </w:r>
            <w:r>
              <w:t xml:space="preserve"> </w:t>
            </w:r>
          </w:p>
          <w:p w14:paraId="2A58A7A3">
            <w:pPr>
              <w:spacing w:after="120"/>
            </w:pPr>
            <w:r>
              <w:t>Korean Agency for Technology and Standards (KATS)</w:t>
            </w:r>
          </w:p>
          <w:p w14:paraId="0E1E0399">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p w14:paraId="119DF36A">
            <w:pPr>
              <w:spacing w:after="120"/>
            </w:pPr>
          </w:p>
        </w:tc>
      </w:tr>
      <w:tr w14:paraId="6F8CDBE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2DB0D2C">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589537DC">
            <w:pPr>
              <w:spacing w:before="120" w:after="120"/>
            </w:pPr>
            <w:r>
              <w:rPr>
                <w:b/>
              </w:rPr>
              <w:t>Notified under Article 2.9.2 [X], 2.10.1 [ ], 5.6.2 [X], 5.7.1 [ ], 3.2 [ ], 7.2 [ ], other:</w:t>
            </w:r>
            <w:r>
              <w:t xml:space="preserve"> </w:t>
            </w:r>
          </w:p>
        </w:tc>
      </w:tr>
      <w:tr w14:paraId="5573DF9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trHeight w:val="941" w:hRule="atLeast"/>
        </w:trPr>
        <w:tc>
          <w:tcPr>
            <w:tcW w:w="713" w:type="dxa"/>
            <w:tcBorders>
              <w:top w:val="single" w:color="auto" w:sz="6" w:space="0"/>
              <w:bottom w:val="single" w:color="auto" w:sz="6" w:space="0"/>
            </w:tcBorders>
            <w:shd w:val="clear" w:color="auto" w:fill="auto"/>
          </w:tcPr>
          <w:p w14:paraId="09DCCC64">
            <w:pPr>
              <w:spacing w:before="120" w:after="120"/>
              <w:jc w:val="left"/>
            </w:pPr>
            <w:r>
              <w:rPr>
                <w:b/>
              </w:rPr>
              <w:t>4.</w:t>
            </w:r>
          </w:p>
        </w:tc>
        <w:tc>
          <w:tcPr>
            <w:tcW w:w="8546" w:type="dxa"/>
            <w:tcBorders>
              <w:top w:val="single" w:color="auto" w:sz="6" w:space="0"/>
              <w:bottom w:val="single" w:color="auto" w:sz="6" w:space="0"/>
            </w:tcBorders>
            <w:shd w:val="clear" w:color="auto" w:fill="auto"/>
          </w:tcPr>
          <w:p w14:paraId="06D5DC5F">
            <w:pPr>
              <w:spacing w:before="120" w:after="120"/>
            </w:pPr>
            <w:r>
              <w:rPr>
                <w:b/>
              </w:rPr>
              <w:t>Products covered (HS or CCCN where applicable, otherwise national tariff heading. ICS numbers may be provided in addition, where applicable):</w:t>
            </w:r>
            <w:r>
              <w:t xml:space="preserve"> Primary cells and primary batteries, electrical; parts thereof (excl. spent) (HS code(s): 8506)</w:t>
            </w:r>
          </w:p>
        </w:tc>
      </w:tr>
      <w:tr w14:paraId="5124394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9554460">
            <w:pPr>
              <w:spacing w:before="120" w:after="120"/>
              <w:jc w:val="left"/>
            </w:pPr>
            <w:r>
              <w:rPr>
                <w:b/>
              </w:rPr>
              <w:t>5.</w:t>
            </w:r>
          </w:p>
        </w:tc>
        <w:tc>
          <w:tcPr>
            <w:tcW w:w="8546" w:type="dxa"/>
            <w:tcBorders>
              <w:top w:val="single" w:color="auto" w:sz="6" w:space="0"/>
              <w:bottom w:val="single" w:color="auto" w:sz="6" w:space="0"/>
            </w:tcBorders>
            <w:shd w:val="clear" w:color="auto" w:fill="auto"/>
          </w:tcPr>
          <w:p w14:paraId="57CBFD21">
            <w:pPr>
              <w:spacing w:before="120" w:after="120"/>
            </w:pPr>
            <w:r>
              <w:rPr>
                <w:b/>
              </w:rPr>
              <w:t>Title, number of pages and language(s) of the notified document:</w:t>
            </w:r>
            <w:r>
              <w:t xml:space="preserve">  A draft of safety verification criteria about child-resistant packaging for primary button and coin batteries; (28 page(s), in Korean)</w:t>
            </w:r>
          </w:p>
        </w:tc>
      </w:tr>
      <w:tr w14:paraId="7972809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5B614F5">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583BAB19">
            <w:pPr>
              <w:spacing w:before="120" w:after="120"/>
            </w:pPr>
            <w:r>
              <w:rPr>
                <w:b/>
              </w:rPr>
              <w:t>Description of content:</w:t>
            </w:r>
            <w:r>
              <w:t xml:space="preserve"> Establishing safety requirements of child-resistant packaging for primary button and coin batteries.</w:t>
            </w:r>
          </w:p>
        </w:tc>
      </w:tr>
      <w:tr w14:paraId="730F5AF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38BCEE70">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3A16F79A">
            <w:pPr>
              <w:spacing w:before="120" w:after="120"/>
              <w:rPr>
                <w:b/>
              </w:rPr>
            </w:pPr>
            <w:r>
              <w:rPr>
                <w:b/>
              </w:rPr>
              <w:t>Objective and rationale, including the nature of urgent problems where applicable:</w:t>
            </w:r>
            <w:r>
              <w:t xml:space="preserve"> Prevention of deceptive practices and consumer protection</w:t>
            </w:r>
          </w:p>
        </w:tc>
      </w:tr>
      <w:tr w14:paraId="754D43F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2F2154AD">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2A5BC700">
            <w:pPr>
              <w:spacing w:before="120" w:after="120"/>
              <w:rPr>
                <w:bCs/>
                <w:lang w:val="fr-CH"/>
              </w:rPr>
            </w:pPr>
            <w:r>
              <w:rPr>
                <w:b/>
                <w:lang w:val="fr-CH"/>
              </w:rPr>
              <w:t>Relevant documents:</w:t>
            </w:r>
            <w:r>
              <w:rPr>
                <w:lang w:val="fr-CH"/>
              </w:rPr>
              <w:t xml:space="preserve"> </w:t>
            </w:r>
          </w:p>
          <w:p w14:paraId="0514C5C1">
            <w:pPr>
              <w:spacing w:before="120" w:after="120"/>
            </w:pPr>
            <w:r>
              <w:rPr>
                <w:lang w:val="fr-CH"/>
              </w:rPr>
              <w:t>KATS Public Notice No. 2025-0186</w:t>
            </w:r>
          </w:p>
        </w:tc>
      </w:tr>
      <w:tr w14:paraId="6FAA3B4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30355312">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5C546800">
            <w:pPr>
              <w:spacing w:before="120" w:after="120"/>
            </w:pPr>
            <w:r>
              <w:rPr>
                <w:b/>
              </w:rPr>
              <w:t>Proposed date of adoption:</w:t>
            </w:r>
            <w:r>
              <w:t xml:space="preserve"> To be determined (December 2025 or later)</w:t>
            </w:r>
          </w:p>
          <w:p w14:paraId="3C5E68CB">
            <w:pPr>
              <w:spacing w:after="120"/>
            </w:pPr>
            <w:r>
              <w:rPr>
                <w:b/>
              </w:rPr>
              <w:t>Proposed date of entry into force:</w:t>
            </w:r>
            <w:r>
              <w:t xml:space="preserve"> To be determined (July 2026 or later)</w:t>
            </w:r>
          </w:p>
        </w:tc>
      </w:tr>
      <w:tr w14:paraId="0CA1885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0B1DD86">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493D86E3">
            <w:pPr>
              <w:spacing w:before="120" w:after="120"/>
              <w:rPr>
                <w:rFonts w:hint="eastAsia" w:eastAsia="宋体"/>
                <w:bCs/>
                <w:lang w:eastAsia="zh-CN"/>
              </w:rPr>
            </w:pPr>
            <w:r>
              <w:rPr>
                <w:b/>
              </w:rPr>
              <w:t>Final date for comments:</w:t>
            </w:r>
            <w:r>
              <w:t xml:space="preserve"> 26 September 2025</w:t>
            </w:r>
            <w:r>
              <w:rPr>
                <w:rFonts w:hint="eastAsia" w:eastAsia="宋体"/>
                <w:lang w:eastAsia="zh-CN"/>
              </w:rPr>
              <w:t>；</w:t>
            </w:r>
          </w:p>
          <w:p w14:paraId="586C9D9C">
            <w:pPr>
              <w:tabs>
                <w:tab w:val="left" w:pos="1418"/>
                <w:tab w:val="left" w:pos="2127"/>
                <w:tab w:val="left" w:pos="2835"/>
                <w:tab w:val="left" w:pos="3402"/>
              </w:tabs>
              <w:spacing w:before="120" w:after="120"/>
              <w:rPr>
                <w:rFonts w:hint="eastAsia" w:eastAsia="宋体"/>
                <w:b/>
                <w:bCs/>
                <w:lang w:eastAsia="zh-CN"/>
              </w:rPr>
            </w:pPr>
            <w:r>
              <w:rPr>
                <w:b/>
                <w:bCs/>
              </w:rPr>
              <w:t>[X] 60 days from notification</w:t>
            </w:r>
            <w:r>
              <w:t xml:space="preserve"> </w:t>
            </w:r>
            <w:r>
              <w:rPr>
                <w:rFonts w:hint="eastAsia" w:eastAsia="宋体"/>
                <w:lang w:eastAsia="zh-CN"/>
              </w:rPr>
              <w:t>；</w:t>
            </w:r>
          </w:p>
          <w:p w14:paraId="59E76022">
            <w:pPr>
              <w:spacing w:before="120" w:after="120"/>
            </w:pPr>
            <w:r>
              <w:rPr>
                <w:b/>
                <w:bCs/>
              </w:rPr>
              <w:t>Contact details of agency or authority designated to handle comments regarding the notification:</w:t>
            </w:r>
            <w:r>
              <w:t xml:space="preserve"> </w:t>
            </w:r>
          </w:p>
          <w:p w14:paraId="46104CEF">
            <w:r>
              <w:t>Korea WTO TBT Enquiry Point</w:t>
            </w:r>
          </w:p>
          <w:p w14:paraId="7A645040">
            <w:r>
              <w:t>Technical Regulatory Policy Division</w:t>
            </w:r>
          </w:p>
          <w:p w14:paraId="7567A8DF">
            <w:r>
              <w:t>Korean Agency for Technology and Standards (KATS)</w:t>
            </w:r>
          </w:p>
          <w:p w14:paraId="24C67C82">
            <w:r>
              <w:t>93 Isu-ro Maengdong-myeon Eumseong-gun</w:t>
            </w:r>
          </w:p>
          <w:p w14:paraId="6DA346B0">
            <w:r>
              <w:t>Chungchungbuk-do</w:t>
            </w:r>
          </w:p>
          <w:p w14:paraId="2BDBC85F">
            <w:r>
              <w:t>27737</w:t>
            </w:r>
          </w:p>
          <w:p w14:paraId="29A2B6DC">
            <w:r>
              <w:t>Tel: +(82) 43 870 5315</w:t>
            </w:r>
          </w:p>
          <w:p w14:paraId="624DE14C">
            <w:r>
              <w:t>Fax: +(82) 43 870 5682</w:t>
            </w:r>
          </w:p>
          <w:p w14:paraId="60C91678">
            <w:r>
              <w:t xml:space="preserve">Email: </w:t>
            </w:r>
            <w:r>
              <w:fldChar w:fldCharType="begin"/>
            </w:r>
            <w:r>
              <w:instrText xml:space="preserve"> HYPERLINK "mailto:tbt@korea.kr" </w:instrText>
            </w:r>
            <w:r>
              <w:fldChar w:fldCharType="separate"/>
            </w:r>
            <w:r>
              <w:rPr>
                <w:color w:val="0000FF"/>
                <w:u w:val="single"/>
              </w:rPr>
              <w:t>tbt@korea.kr</w:t>
            </w:r>
            <w:r>
              <w:rPr>
                <w:color w:val="0000FF"/>
                <w:u w:val="single"/>
              </w:rPr>
              <w:fldChar w:fldCharType="end"/>
            </w:r>
          </w:p>
          <w:p w14:paraId="48C1858E">
            <w:pPr>
              <w:spacing w:before="120" w:after="120"/>
            </w:pPr>
            <w:r>
              <w:t xml:space="preserve">Website: </w:t>
            </w:r>
            <w:r>
              <w:fldChar w:fldCharType="begin"/>
            </w:r>
            <w:r>
              <w:instrText xml:space="preserve"> HYPERLINK "https://www.knowtbt.kr" \t "_blank" </w:instrText>
            </w:r>
            <w:r>
              <w:fldChar w:fldCharType="separate"/>
            </w:r>
            <w:r>
              <w:rPr>
                <w:color w:val="0000FF"/>
                <w:u w:val="single"/>
              </w:rPr>
              <w:t>https://www.knowtbt.kr</w:t>
            </w:r>
            <w:r>
              <w:rPr>
                <w:color w:val="0000FF"/>
                <w:u w:val="single"/>
              </w:rPr>
              <w:fldChar w:fldCharType="end"/>
            </w:r>
          </w:p>
        </w:tc>
      </w:tr>
      <w:tr w14:paraId="0682CDC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2BF95A63">
            <w:pPr>
              <w:keepNext/>
              <w:keepLines/>
              <w:spacing w:before="120" w:after="120"/>
              <w:jc w:val="left"/>
              <w:rPr>
                <w:b/>
              </w:rPr>
            </w:pPr>
            <w:r>
              <w:rPr>
                <w:b/>
              </w:rPr>
              <w:t>11.</w:t>
            </w:r>
          </w:p>
        </w:tc>
        <w:tc>
          <w:tcPr>
            <w:tcW w:w="8546" w:type="dxa"/>
            <w:tcBorders>
              <w:top w:val="single" w:color="auto" w:sz="6" w:space="0"/>
            </w:tcBorders>
            <w:shd w:val="clear" w:color="auto" w:fill="auto"/>
          </w:tcPr>
          <w:p w14:paraId="180D5272">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379DE505">
            <w:pPr>
              <w:rPr>
                <w:iCs/>
              </w:rPr>
            </w:pPr>
            <w:r>
              <w:rPr>
                <w:iCs/>
              </w:rPr>
              <w:t>Consumer and Children's Product Safety Division</w:t>
            </w:r>
          </w:p>
          <w:p w14:paraId="3F67B693">
            <w:pPr>
              <w:rPr>
                <w:iCs/>
              </w:rPr>
            </w:pPr>
            <w:r>
              <w:rPr>
                <w:iCs/>
              </w:rPr>
              <w:t>Bureau of Product Safety Policy</w:t>
            </w:r>
          </w:p>
          <w:p w14:paraId="08D4035E">
            <w:pPr>
              <w:rPr>
                <w:iCs/>
              </w:rPr>
            </w:pPr>
            <w:r>
              <w:rPr>
                <w:iCs/>
              </w:rPr>
              <w:t>Korean Agency for Technology and Standards</w:t>
            </w:r>
          </w:p>
          <w:p w14:paraId="4891D815">
            <w:pPr>
              <w:rPr>
                <w:iCs/>
              </w:rPr>
            </w:pPr>
            <w:r>
              <w:rPr>
                <w:iCs/>
              </w:rPr>
              <w:t>93, Isu-ro, Maengdong-myeon, Eumseong-gun,</w:t>
            </w:r>
          </w:p>
          <w:p w14:paraId="1E1B7A8B">
            <w:pPr>
              <w:rPr>
                <w:iCs/>
              </w:rPr>
            </w:pPr>
            <w:r>
              <w:rPr>
                <w:iCs/>
              </w:rPr>
              <w:t>Chungcheongbuk-do, 27737</w:t>
            </w:r>
          </w:p>
          <w:p w14:paraId="1F38E2F7">
            <w:pPr>
              <w:rPr>
                <w:iCs/>
              </w:rPr>
            </w:pPr>
            <w:r>
              <w:rPr>
                <w:iCs/>
              </w:rPr>
              <w:t>Republic of Korea</w:t>
            </w:r>
          </w:p>
          <w:p w14:paraId="6467E79C">
            <w:pPr>
              <w:rPr>
                <w:iCs/>
              </w:rPr>
            </w:pPr>
            <w:r>
              <w:rPr>
                <w:iCs/>
              </w:rPr>
              <w:t>Tel.: (+82) 43 870 5459</w:t>
            </w:r>
          </w:p>
          <w:p w14:paraId="012D2943">
            <w:pPr>
              <w:rPr>
                <w:iCs/>
                <w:lang w:val="fr-CH"/>
              </w:rPr>
            </w:pPr>
            <w:r>
              <w:rPr>
                <w:iCs/>
                <w:lang w:val="fr-CH"/>
              </w:rPr>
              <w:t>Fax: (+82) 43 870 5677</w:t>
            </w:r>
          </w:p>
          <w:p w14:paraId="3C949DCC">
            <w:pPr>
              <w:rPr>
                <w:iCs/>
                <w:lang w:val="fr-CH"/>
              </w:rPr>
            </w:pPr>
            <w:r>
              <w:rPr>
                <w:iCs/>
                <w:lang w:val="fr-CH"/>
              </w:rPr>
              <w:t xml:space="preserve">E-mail: </w:t>
            </w:r>
            <w:r>
              <w:fldChar w:fldCharType="begin"/>
            </w:r>
            <w:r>
              <w:instrText xml:space="preserve"> HYPERLINK "mailto:consumer1@korea.kr" </w:instrText>
            </w:r>
            <w:r>
              <w:fldChar w:fldCharType="separate"/>
            </w:r>
            <w:r>
              <w:rPr>
                <w:iCs/>
                <w:color w:val="0000FF"/>
                <w:u w:val="single"/>
                <w:lang w:val="fr-CH"/>
              </w:rPr>
              <w:t>consumer1@korea.kr</w:t>
            </w:r>
            <w:r>
              <w:rPr>
                <w:iCs/>
                <w:color w:val="0000FF"/>
                <w:u w:val="single"/>
                <w:lang w:val="fr-CH"/>
              </w:rPr>
              <w:fldChar w:fldCharType="end"/>
            </w:r>
          </w:p>
          <w:p w14:paraId="00F4525C">
            <w:pPr>
              <w:pBdr>
                <w:top w:val="none" w:color="auto" w:sz="0" w:space="4"/>
                <w:bottom w:val="none" w:color="auto" w:sz="0" w:space="4"/>
              </w:pBdr>
              <w:rPr>
                <w:iCs/>
                <w:color w:val="0000FF"/>
                <w:u w:val="single"/>
              </w:rPr>
            </w:pPr>
            <w:r>
              <w:rPr>
                <w:iCs/>
              </w:rPr>
              <w:t xml:space="preserve">Website: </w:t>
            </w:r>
            <w:r>
              <w:fldChar w:fldCharType="begin"/>
            </w:r>
            <w:r>
              <w:instrText xml:space="preserve"> HYPERLINK "http://www.kats.go.kr" \t "_blank" </w:instrText>
            </w:r>
            <w:r>
              <w:fldChar w:fldCharType="separate"/>
            </w:r>
            <w:r>
              <w:rPr>
                <w:iCs/>
                <w:color w:val="0000FF"/>
                <w:u w:val="single"/>
              </w:rPr>
              <w:t>http://www.kats.go.kr</w:t>
            </w:r>
            <w:r>
              <w:rPr>
                <w:iCs/>
                <w:color w:val="0000FF"/>
                <w:u w:val="single"/>
              </w:rPr>
              <w:fldChar w:fldCharType="end"/>
            </w:r>
          </w:p>
          <w:p w14:paraId="49B529F7">
            <w:pPr>
              <w:pBdr>
                <w:top w:val="none" w:color="auto" w:sz="0" w:space="4"/>
                <w:bottom w:val="none" w:color="auto" w:sz="0" w:space="4"/>
              </w:pBdr>
              <w:rPr>
                <w:iCs/>
                <w:color w:val="0000FF"/>
                <w:u w:val="single"/>
              </w:rPr>
            </w:pPr>
          </w:p>
          <w:p w14:paraId="73D7C498">
            <w:pPr>
              <w:pBdr>
                <w:top w:val="none" w:color="auto" w:sz="0" w:space="4"/>
                <w:bottom w:val="none" w:color="auto" w:sz="0" w:space="4"/>
              </w:pBdr>
              <w:rPr>
                <w:iCs/>
              </w:rPr>
            </w:pPr>
            <w:r>
              <w:fldChar w:fldCharType="begin"/>
            </w:r>
            <w:r>
              <w:instrText xml:space="preserve"> HYPERLINK "https://members.wto.org/crnattachments/2025/TBT/KOR/25_04975_00_x.pdf" \t "_blank" </w:instrText>
            </w:r>
            <w:r>
              <w:fldChar w:fldCharType="separate"/>
            </w:r>
            <w:r>
              <w:rPr>
                <w:iCs/>
                <w:color w:val="0000FF"/>
                <w:u w:val="single"/>
              </w:rPr>
              <w:t>https://members.wto.org/crnattachments/2025/TBT/KOR/25_04975_00_x.pdf</w:t>
            </w:r>
            <w:r>
              <w:rPr>
                <w:iCs/>
                <w:color w:val="0000FF"/>
                <w:u w:val="single"/>
              </w:rPr>
              <w:fldChar w:fldCharType="end"/>
            </w:r>
          </w:p>
          <w:p w14:paraId="4D615A88">
            <w:pPr>
              <w:keepNext/>
              <w:keepLines/>
              <w:pBdr>
                <w:top w:val="none" w:color="auto" w:sz="0" w:space="4"/>
              </w:pBdr>
              <w:spacing w:after="120"/>
              <w:rPr>
                <w:bCs/>
              </w:rPr>
            </w:pPr>
          </w:p>
        </w:tc>
      </w:tr>
    </w:tbl>
    <w:p w14:paraId="30C499B3"/>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AD9E78">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0E0CA">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137A4">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BF7926">
    <w:pPr>
      <w:pStyle w:val="58"/>
      <w:pBdr>
        <w:bottom w:val="single" w:color="auto" w:sz="4" w:space="1"/>
      </w:pBdr>
      <w:tabs>
        <w:tab w:val="clear" w:pos="4513"/>
        <w:tab w:val="clear" w:pos="9027"/>
      </w:tabs>
      <w:jc w:val="center"/>
    </w:pPr>
    <w:bookmarkStart w:id="9" w:name="spsSymbolHeader"/>
    <w:r>
      <w:t>G/TBT/N/KOR/1294</w:t>
    </w:r>
    <w:bookmarkEnd w:id="9"/>
  </w:p>
  <w:p w14:paraId="2F977BDA">
    <w:pPr>
      <w:pStyle w:val="58"/>
      <w:pBdr>
        <w:bottom w:val="single" w:color="auto" w:sz="4" w:space="1"/>
      </w:pBdr>
      <w:tabs>
        <w:tab w:val="clear" w:pos="4513"/>
        <w:tab w:val="clear" w:pos="9027"/>
      </w:tabs>
      <w:jc w:val="center"/>
    </w:pPr>
  </w:p>
  <w:p w14:paraId="617713E3">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3042E66C">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35CB9">
    <w:pPr>
      <w:pStyle w:val="58"/>
      <w:pBdr>
        <w:bottom w:val="single" w:color="auto" w:sz="4" w:space="1"/>
      </w:pBdr>
      <w:tabs>
        <w:tab w:val="clear" w:pos="4513"/>
        <w:tab w:val="clear" w:pos="9027"/>
      </w:tabs>
      <w:jc w:val="center"/>
    </w:pPr>
    <w:r>
      <w:t>tbtSymbol</w:t>
    </w:r>
  </w:p>
  <w:p w14:paraId="3C992928">
    <w:pPr>
      <w:pStyle w:val="58"/>
      <w:pBdr>
        <w:bottom w:val="single" w:color="auto" w:sz="4" w:space="1"/>
      </w:pBdr>
      <w:tabs>
        <w:tab w:val="clear" w:pos="4513"/>
        <w:tab w:val="clear" w:pos="9027"/>
      </w:tabs>
      <w:jc w:val="center"/>
    </w:pPr>
  </w:p>
  <w:p w14:paraId="5ACCB86C">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7ACBFFB7">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39084CFE">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4E017122">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285DFEE5">
          <w:pPr>
            <w:jc w:val="right"/>
            <w:rPr>
              <w:b/>
              <w:color w:val="FF0000"/>
              <w:szCs w:val="16"/>
            </w:rPr>
          </w:pPr>
        </w:p>
      </w:tc>
    </w:tr>
    <w:bookmarkEnd w:id="0"/>
    <w:tr w14:paraId="62DAFF39">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0E7E6FCA">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23933EC0">
          <w:pPr>
            <w:jc w:val="right"/>
            <w:rPr>
              <w:b/>
              <w:szCs w:val="16"/>
            </w:rPr>
          </w:pPr>
        </w:p>
      </w:tc>
    </w:tr>
    <w:tr w14:paraId="70A787BB">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67E25BF">
          <w:pPr>
            <w:jc w:val="left"/>
            <w:rPr>
              <w:lang w:eastAsia="en-GB"/>
            </w:rPr>
          </w:pPr>
        </w:p>
      </w:tc>
      <w:tc>
        <w:tcPr>
          <w:tcW w:w="5448" w:type="dxa"/>
          <w:gridSpan w:val="2"/>
          <w:shd w:val="clear" w:color="auto" w:fill="FFFFFF"/>
          <w:tcMar>
            <w:left w:w="108" w:type="dxa"/>
            <w:right w:w="108" w:type="dxa"/>
          </w:tcMar>
        </w:tcPr>
        <w:p w14:paraId="307AC36A">
          <w:pPr>
            <w:jc w:val="right"/>
            <w:rPr>
              <w:rFonts w:hint="eastAsia" w:eastAsia="宋体"/>
              <w:b/>
              <w:szCs w:val="16"/>
              <w:lang w:eastAsia="zh-CN"/>
            </w:rPr>
          </w:pPr>
          <w:bookmarkStart w:id="1" w:name="bmkSymbols"/>
          <w:r>
            <w:rPr>
              <w:b/>
              <w:szCs w:val="16"/>
            </w:rPr>
            <w:t>G/TBT/N/KOR/129</w:t>
          </w:r>
          <w:bookmarkEnd w:id="1"/>
          <w:r>
            <w:rPr>
              <w:rFonts w:hint="eastAsia" w:eastAsia="宋体"/>
              <w:b/>
              <w:szCs w:val="16"/>
              <w:lang w:val="en-US" w:eastAsia="zh-CN"/>
            </w:rPr>
            <w:t>7</w:t>
          </w:r>
        </w:p>
      </w:tc>
    </w:tr>
    <w:tr w14:paraId="13B9F4C9">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660F030C"/>
      </w:tc>
      <w:tc>
        <w:tcPr>
          <w:tcW w:w="5448" w:type="dxa"/>
          <w:gridSpan w:val="2"/>
          <w:shd w:val="clear" w:color="auto" w:fill="FFFFFF"/>
          <w:tcMar>
            <w:left w:w="108" w:type="dxa"/>
            <w:right w:w="108" w:type="dxa"/>
          </w:tcMar>
          <w:vAlign w:val="center"/>
        </w:tcPr>
        <w:p w14:paraId="68F4D5C6">
          <w:pPr>
            <w:jc w:val="right"/>
            <w:rPr>
              <w:szCs w:val="16"/>
            </w:rPr>
          </w:pPr>
          <w:bookmarkStart w:id="2" w:name="spsDateDistribution"/>
          <w:bookmarkStart w:id="3" w:name="bmkDate"/>
          <w:r>
            <w:rPr>
              <w:szCs w:val="16"/>
            </w:rPr>
            <w:t xml:space="preserve">28 </w:t>
          </w:r>
          <w:r>
            <w:rPr>
              <w:rFonts w:hint="eastAsia" w:eastAsia="宋体"/>
              <w:szCs w:val="16"/>
              <w:lang w:val="en-US" w:eastAsia="zh-CN"/>
            </w:rPr>
            <w:t>Jul</w:t>
          </w:r>
          <w:r>
            <w:rPr>
              <w:szCs w:val="16"/>
            </w:rPr>
            <w:t>y</w:t>
          </w:r>
          <w:bookmarkStart w:id="10" w:name="_GoBack"/>
          <w:bookmarkEnd w:id="10"/>
          <w:r>
            <w:rPr>
              <w:szCs w:val="16"/>
            </w:rPr>
            <w:t xml:space="preserve"> 2025</w:t>
          </w:r>
          <w:bookmarkEnd w:id="2"/>
          <w:bookmarkEnd w:id="3"/>
        </w:p>
      </w:tc>
    </w:tr>
    <w:tr w14:paraId="4E363B5D">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5FF06D0D">
          <w:pPr>
            <w:jc w:val="left"/>
            <w:rPr>
              <w:b/>
            </w:rPr>
          </w:pPr>
          <w:bookmarkStart w:id="4" w:name="bmkSerial"/>
          <w:r>
            <w:rPr>
              <w:b w:val="0"/>
              <w:color w:val="FF0000"/>
            </w:rPr>
            <w:t>(25-</w:t>
          </w:r>
          <w:r>
            <w:rPr>
              <w:rFonts w:hint="eastAsia" w:eastAsia="宋体"/>
              <w:b w:val="0"/>
              <w:color w:val="FF0000"/>
              <w:lang w:val="en-US" w:eastAsia="zh-CN"/>
            </w:rPr>
            <w:t>4860</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594881B">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6CFBFE5D">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11904A89">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678824E3">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1A5A3730">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0474"/>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2A78"/>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4F425E"/>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3708"/>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B4439"/>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60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F521761"/>
    <w:rsid w:val="5B346DB9"/>
    <w:rsid w:val="6F5341D7"/>
    <w:rsid w:val="730A37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unhideWhenUsed="0" w:uiPriority="2" w:semiHidden="0" w:name="heading 9"/>
    <w:lsdException w:uiPriority="99" w:name="index 1"/>
    <w:lsdException w:uiPriority="99" w:name="index 2"/>
    <w:lsdException w:uiPriority="99" w:name="index 3"/>
    <w:lsdException w:qFormat="1" w:uiPriority="99" w:name="index 4"/>
    <w:lsdException w:qFormat="1" w:uiPriority="99" w:name="index 5"/>
    <w:lsdException w:uiPriority="99" w:name="index 6"/>
    <w:lsdException w:uiPriority="99" w:name="index 7"/>
    <w:lsdException w:qFormat="1" w:uiPriority="99" w:name="index 8"/>
    <w:lsdException w:uiPriority="99" w:name="index 9"/>
    <w:lsdException w:unhideWhenUsed="0" w:uiPriority="39" w:semiHidden="0" w:name="toc 1"/>
    <w:lsdException w:unhideWhenUsed="0" w:uiPriority="39" w:semiHidden="0" w:name="toc 2"/>
    <w:lsdException w:unhideWhenUsed="0" w:uiPriority="39" w:semiHidden="0" w:name="toc 3"/>
    <w:lsdException w:unhideWhenUsed="0" w:uiPriority="39" w:semiHidden="0" w:name="toc 4"/>
    <w:lsdException w:qFormat="1" w:unhideWhenUsed="0" w:uiPriority="39" w:semiHidden="0" w:name="toc 5"/>
    <w:lsdException w:qFormat="1" w:unhideWhenUsed="0" w:uiPriority="39" w:semiHidden="0" w:name="toc 6"/>
    <w:lsdException w:unhideWhenUsed="0" w:uiPriority="39" w:semiHidden="0" w:name="toc 7"/>
    <w:lsdException w:unhideWhenUsed="0" w:uiPriority="39" w:semiHidden="0" w:name="toc 8"/>
    <w:lsdException w:unhideWhenUsed="0" w:uiPriority="39" w:semiHidden="0" w:name="toc 9"/>
    <w:lsdException w:uiPriority="99" w:name="Normal Indent"/>
    <w:lsdException w:unhideWhenUsed="0" w:uiPriority="5" w:semiHidden="0" w:name="footnote text"/>
    <w:lsdException w:uiPriority="99" w:semiHidden="0" w:name="annotation text"/>
    <w:lsdException w:qFormat="1" w:unhideWhenUsed="0" w:uiPriority="3" w:semiHidden="0" w:name="header"/>
    <w:lsdException w:unhideWhenUsed="0" w:uiPriority="3" w:semiHidden="0" w:name="footer"/>
    <w:lsdException w:uiPriority="99" w:name="index heading"/>
    <w:lsdException w:qFormat="1" w:unhideWhenUsed="0" w:uiPriority="6" w:semiHidden="0" w:name="caption"/>
    <w:lsdException w:unhideWhenUsed="0" w:uiPriority="39" w:semiHidden="0" w:name="table of figures"/>
    <w:lsdException w:qFormat="1" w:uiPriority="99" w:name="envelope address"/>
    <w:lsdException w:uiPriority="99" w:name="envelope return"/>
    <w:lsdException w:unhideWhenUsed="0" w:uiPriority="5" w:semiHidden="0" w:name="footnote reference"/>
    <w:lsdException w:uiPriority="99" w:name="annotation reference"/>
    <w:lsdException w:uiPriority="99" w:name="line number"/>
    <w:lsdException w:uiPriority="99" w:name="page number"/>
    <w:lsdException w:unhideWhenUsed="0" w:uiPriority="49" w:semiHidden="0" w:name="endnote reference"/>
    <w:lsdException w:unhideWhenUsed="0" w:uiPriority="49" w:semiHidden="0" w:name="endnote text"/>
    <w:lsdException w:unhideWhenUsed="0" w:uiPriority="39" w:semiHidden="0" w:name="table of authorities"/>
    <w:lsdException w:qFormat="1" w:uiPriority="99" w:name="macro"/>
    <w:lsdException w:qFormat="1" w:uiPriority="39" w:semiHidden="0" w:name="toa heading"/>
    <w:lsdException w:uiPriority="99" w:name="List"/>
    <w:lsdException w:qFormat="1" w:unhideWhenUsed="0" w:uiPriority="1" w:semiHidden="0" w:name="List Bullet"/>
    <w:lsdException w:qFormat="1" w:uiPriority="49" w:name="List Number"/>
    <w:lsdException w:qFormat="1" w:uiPriority="99" w:name="List 2"/>
    <w:lsdException w:uiPriority="99" w:name="List 3"/>
    <w:lsdException w:uiPriority="99" w:name="List 4"/>
    <w:lsdException w:uiPriority="99" w:name="List 5"/>
    <w:lsdException w:qFormat="1" w:unhideWhenUsed="0" w:uiPriority="1" w:semiHidden="0" w:name="List Bullet 2"/>
    <w:lsdException w:unhideWhenUsed="0" w:uiPriority="1" w:semiHidden="0" w:name="List Bullet 3"/>
    <w:lsdException w:qFormat="1" w:unhideWhenUsed="0" w:uiPriority="1" w:semiHidden="0" w:name="List Bullet 4"/>
    <w:lsdException w:unhideWhenUsed="0" w:uiPriority="1" w:semiHidden="0" w:name="List Bullet 5"/>
    <w:lsdException w:qFormat="1" w:uiPriority="49" w:name="List Number 2"/>
    <w:lsdException w:qFormat="1" w:uiPriority="49" w:name="List Number 3"/>
    <w:lsdException w:uiPriority="49" w:name="List Number 4"/>
    <w:lsdException w:uiPriority="49" w:name="List Number 5"/>
    <w:lsdException w:qFormat="1" w:unhideWhenUsed="0" w:uiPriority="5"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6"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1" w:semiHidden="0" w:name="Body Text 2"/>
    <w:lsdException w:qFormat="1" w:unhideWhenUsed="0" w:uiPriority="1" w:semiHidden="0" w:name="Body Text 3"/>
    <w:lsdException w:uiPriority="99" w:name="Body Text Indent 2"/>
    <w:lsdException w:uiPriority="99" w:name="Body Text Indent 3"/>
    <w:lsdException w:qFormat="1" w:uiPriority="99" w:name="Block Text"/>
    <w:lsdException w:uiPriority="9" w:semiHidden="0" w:name="Hyperlink"/>
    <w:lsdException w:uiPriority="9" w:semiHidden="0" w:name="FollowedHyperlink"/>
    <w:lsdException w:qFormat="1" w:unhideWhenUsed="0" w:uiPriority="99" w:name="Strong"/>
    <w:lsdException w:qFormat="1" w:unhideWhenUsed="0" w:uiPriority="99" w:name="Emphasis"/>
    <w:lsdException w:qFormat="1" w:uiPriority="99" w:name="Document Map"/>
    <w:lsdException w:uiPriority="99" w:semiHidden="0" w:name="Plain Text"/>
    <w:lsdException w:uiPriority="99" w:name="E-mail Signature"/>
    <w:lsdException w:uiPriority="99" w:name="Normal (Web)"/>
    <w:lsdException w:uiPriority="99" w:name="HTML Acronym"/>
    <w:lsdException w:qFormat="1"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uiPriority w:val="99"/>
    <w:pPr>
      <w:ind w:left="849" w:hanging="283"/>
      <w:contextualSpacing/>
    </w:pPr>
  </w:style>
  <w:style w:type="paragraph" w:styleId="14">
    <w:name w:val="toc 7"/>
    <w:basedOn w:val="1"/>
    <w:next w:val="1"/>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uiPriority w:val="99"/>
    <w:rPr>
      <w:sz w:val="20"/>
      <w:szCs w:val="20"/>
    </w:rPr>
  </w:style>
  <w:style w:type="paragraph" w:styleId="30">
    <w:name w:val="index 6"/>
    <w:basedOn w:val="1"/>
    <w:next w:val="1"/>
    <w:semiHidden/>
    <w:unhideWhenUsed/>
    <w:uiPriority w:val="99"/>
    <w:pPr>
      <w:ind w:left="1080" w:hanging="180"/>
    </w:pPr>
  </w:style>
  <w:style w:type="paragraph" w:styleId="31">
    <w:name w:val="Salutation"/>
    <w:basedOn w:val="1"/>
    <w:next w:val="1"/>
    <w:link w:val="315"/>
    <w:semiHidden/>
    <w:unhideWhenUsed/>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uiPriority w:val="99"/>
    <w:pPr>
      <w:ind w:left="4252"/>
    </w:pPr>
  </w:style>
  <w:style w:type="paragraph" w:styleId="34">
    <w:name w:val="List Bullet 3"/>
    <w:basedOn w:val="1"/>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uiPriority w:val="99"/>
    <w:rPr>
      <w:rFonts w:ascii="Consolas" w:hAnsi="Consolas" w:cs="Consolas"/>
      <w:sz w:val="21"/>
      <w:szCs w:val="21"/>
    </w:rPr>
  </w:style>
  <w:style w:type="paragraph" w:styleId="46">
    <w:name w:val="List Bullet 5"/>
    <w:basedOn w:val="1"/>
    <w:uiPriority w:val="1"/>
    <w:pPr>
      <w:numPr>
        <w:ilvl w:val="4"/>
        <w:numId w:val="3"/>
      </w:numPr>
      <w:tabs>
        <w:tab w:val="left" w:pos="1928"/>
        <w:tab w:val="clear" w:pos="1927"/>
      </w:tabs>
      <w:spacing w:after="240"/>
      <w:contextualSpacing/>
    </w:pPr>
  </w:style>
  <w:style w:type="paragraph" w:styleId="47">
    <w:name w:val="List Number 4"/>
    <w:basedOn w:val="1"/>
    <w:semiHidden/>
    <w:unhideWhenUsed/>
    <w:uiPriority w:val="49"/>
    <w:pPr>
      <w:numPr>
        <w:ilvl w:val="0"/>
        <w:numId w:val="5"/>
      </w:numPr>
      <w:contextualSpacing/>
    </w:pPr>
  </w:style>
  <w:style w:type="paragraph" w:styleId="48">
    <w:name w:val="toc 8"/>
    <w:basedOn w:val="1"/>
    <w:next w:val="1"/>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uiPriority w:val="99"/>
    <w:pPr>
      <w:ind w:left="540" w:hanging="180"/>
    </w:pPr>
  </w:style>
  <w:style w:type="paragraph" w:styleId="50">
    <w:name w:val="Date"/>
    <w:basedOn w:val="1"/>
    <w:next w:val="1"/>
    <w:link w:val="298"/>
    <w:semiHidden/>
    <w:unhideWhenUsed/>
    <w:uiPriority w:val="99"/>
  </w:style>
  <w:style w:type="paragraph" w:styleId="51">
    <w:name w:val="Body Text Indent 2"/>
    <w:basedOn w:val="1"/>
    <w:link w:val="292"/>
    <w:semiHidden/>
    <w:unhideWhenUsed/>
    <w:uiPriority w:val="99"/>
    <w:pPr>
      <w:spacing w:after="120" w:line="480" w:lineRule="auto"/>
      <w:ind w:left="283"/>
    </w:pPr>
  </w:style>
  <w:style w:type="paragraph" w:styleId="52">
    <w:name w:val="endnote text"/>
    <w:basedOn w:val="53"/>
    <w:link w:val="265"/>
    <w:uiPriority w:val="49"/>
    <w:rPr>
      <w:szCs w:val="20"/>
    </w:rPr>
  </w:style>
  <w:style w:type="paragraph" w:styleId="53">
    <w:name w:val="footnote text"/>
    <w:basedOn w:val="1"/>
    <w:link w:val="264"/>
    <w:uiPriority w:val="5"/>
    <w:pPr>
      <w:ind w:firstLine="567"/>
      <w:jc w:val="left"/>
    </w:pPr>
    <w:rPr>
      <w:sz w:val="16"/>
      <w:szCs w:val="18"/>
      <w:lang w:eastAsia="en-GB"/>
    </w:rPr>
  </w:style>
  <w:style w:type="paragraph" w:styleId="54">
    <w:name w:val="List Continue 5"/>
    <w:basedOn w:val="1"/>
    <w:semiHidden/>
    <w:unhideWhenUsed/>
    <w:uiPriority w:val="99"/>
    <w:pPr>
      <w:spacing w:after="120"/>
      <w:ind w:left="1415"/>
      <w:contextualSpacing/>
    </w:pPr>
  </w:style>
  <w:style w:type="paragraph" w:styleId="55">
    <w:name w:val="Balloon Text"/>
    <w:basedOn w:val="1"/>
    <w:link w:val="278"/>
    <w:semiHidden/>
    <w:unhideWhenUsed/>
    <w:uiPriority w:val="99"/>
    <w:rPr>
      <w:rFonts w:ascii="Tahoma" w:hAnsi="Tahoma" w:cs="Tahoma"/>
      <w:sz w:val="16"/>
      <w:szCs w:val="16"/>
    </w:rPr>
  </w:style>
  <w:style w:type="paragraph" w:styleId="56">
    <w:name w:val="footer"/>
    <w:basedOn w:val="1"/>
    <w:link w:val="268"/>
    <w:uiPriority w:val="3"/>
    <w:pPr>
      <w:tabs>
        <w:tab w:val="center" w:pos="4513"/>
        <w:tab w:val="right" w:pos="9027"/>
      </w:tabs>
    </w:pPr>
    <w:rPr>
      <w:szCs w:val="18"/>
      <w:lang w:eastAsia="en-GB"/>
    </w:rPr>
  </w:style>
  <w:style w:type="paragraph" w:styleId="57">
    <w:name w:val="envelope return"/>
    <w:basedOn w:val="1"/>
    <w:semiHidden/>
    <w:unhideWhenUsed/>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uiPriority w:val="99"/>
    <w:pPr>
      <w:ind w:left="4252"/>
    </w:pPr>
  </w:style>
  <w:style w:type="paragraph" w:styleId="60">
    <w:name w:val="toc 1"/>
    <w:basedOn w:val="1"/>
    <w:next w:val="1"/>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uiPriority w:val="99"/>
    <w:pPr>
      <w:spacing w:after="120"/>
      <w:ind w:left="1132"/>
      <w:contextualSpacing/>
    </w:pPr>
  </w:style>
  <w:style w:type="paragraph" w:styleId="62">
    <w:name w:val="toc 4"/>
    <w:basedOn w:val="1"/>
    <w:next w:val="1"/>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uiPriority w:val="99"/>
    <w:rPr>
      <w:rFonts w:ascii="Cambria" w:hAnsi="Cambria" w:eastAsia="Times New Roman"/>
      <w:b/>
      <w:bCs/>
    </w:rPr>
  </w:style>
  <w:style w:type="paragraph" w:styleId="64">
    <w:name w:val="index 1"/>
    <w:basedOn w:val="1"/>
    <w:next w:val="1"/>
    <w:semiHidden/>
    <w:unhideWhenUsed/>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uiPriority w:val="49"/>
    <w:pPr>
      <w:contextualSpacing/>
    </w:pPr>
  </w:style>
  <w:style w:type="paragraph" w:styleId="67">
    <w:name w:val="List"/>
    <w:basedOn w:val="1"/>
    <w:semiHidden/>
    <w:unhideWhenUsed/>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uiPriority w:val="99"/>
    <w:pPr>
      <w:ind w:left="1260" w:hanging="180"/>
    </w:pPr>
  </w:style>
  <w:style w:type="paragraph" w:styleId="72">
    <w:name w:val="index 9"/>
    <w:basedOn w:val="1"/>
    <w:next w:val="1"/>
    <w:semiHidden/>
    <w:unhideWhenUsed/>
    <w:uiPriority w:val="99"/>
    <w:pPr>
      <w:ind w:left="1620" w:hanging="180"/>
    </w:pPr>
  </w:style>
  <w:style w:type="paragraph" w:styleId="73">
    <w:name w:val="table of figur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uiPriority w:val="99"/>
    <w:pPr>
      <w:ind w:left="1132" w:hanging="283"/>
      <w:contextualSpacing/>
    </w:pPr>
  </w:style>
  <w:style w:type="paragraph" w:styleId="78">
    <w:name w:val="List Continue 2"/>
    <w:basedOn w:val="1"/>
    <w:semiHidden/>
    <w:unhideWhenUsed/>
    <w:uiPriority w:val="99"/>
    <w:pPr>
      <w:spacing w:after="120"/>
      <w:ind w:left="566"/>
      <w:contextualSpacing/>
    </w:pPr>
  </w:style>
  <w:style w:type="paragraph" w:styleId="79">
    <w:name w:val="Message Header"/>
    <w:basedOn w:val="1"/>
    <w:link w:val="308"/>
    <w:semiHidden/>
    <w:unhideWhenUsed/>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uiPriority w:val="99"/>
    <w:rPr>
      <w:rFonts w:ascii="Consolas" w:hAnsi="Consolas" w:cs="Consolas"/>
      <w:sz w:val="20"/>
      <w:szCs w:val="20"/>
    </w:rPr>
  </w:style>
  <w:style w:type="paragraph" w:styleId="81">
    <w:name w:val="Normal (Web)"/>
    <w:basedOn w:val="1"/>
    <w:semiHidden/>
    <w:unhideWhenUsed/>
    <w:uiPriority w:val="99"/>
    <w:rPr>
      <w:rFonts w:ascii="Times New Roman" w:hAnsi="Times New Roman"/>
      <w:sz w:val="24"/>
      <w:szCs w:val="24"/>
    </w:rPr>
  </w:style>
  <w:style w:type="paragraph" w:styleId="82">
    <w:name w:val="List Continue 3"/>
    <w:basedOn w:val="1"/>
    <w:semiHidden/>
    <w:unhideWhenUsed/>
    <w:uiPriority w:val="99"/>
    <w:pPr>
      <w:spacing w:after="120"/>
      <w:ind w:left="849"/>
      <w:contextualSpacing/>
    </w:pPr>
  </w:style>
  <w:style w:type="paragraph" w:styleId="83">
    <w:name w:val="index 2"/>
    <w:basedOn w:val="1"/>
    <w:next w:val="1"/>
    <w:semiHidden/>
    <w:unhideWhenUsed/>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uiPriority w:val="99"/>
    <w:rPr>
      <w:b/>
      <w:bCs/>
    </w:rPr>
  </w:style>
  <w:style w:type="paragraph" w:styleId="86">
    <w:name w:val="Body Text First Indent"/>
    <w:basedOn w:val="9"/>
    <w:link w:val="289"/>
    <w:semiHidden/>
    <w:unhideWhenUsed/>
    <w:uiPriority w:val="99"/>
    <w:pPr>
      <w:numPr>
        <w:ilvl w:val="0"/>
        <w:numId w:val="0"/>
      </w:numPr>
      <w:spacing w:after="0"/>
      <w:ind w:firstLine="360"/>
    </w:pPr>
  </w:style>
  <w:style w:type="paragraph" w:styleId="87">
    <w:name w:val="Body Text First Indent 2"/>
    <w:basedOn w:val="35"/>
    <w:link w:val="291"/>
    <w:semiHidden/>
    <w:unhideWhenUsed/>
    <w:uiPriority w:val="99"/>
    <w:pPr>
      <w:spacing w:after="0"/>
      <w:ind w:left="360" w:firstLine="360"/>
    </w:pPr>
  </w:style>
  <w:style w:type="table" w:styleId="89">
    <w:name w:val="Table Grid"/>
    <w:basedOn w:val="88"/>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uiPriority w:val="99"/>
    <w:rPr>
      <w:lang w:val="en-GB"/>
    </w:rPr>
  </w:style>
  <w:style w:type="character" w:styleId="241">
    <w:name w:val="HTML Variable"/>
    <w:semiHidden/>
    <w:unhideWhenUsed/>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uiPriority w:val="99"/>
    <w:rPr>
      <w:rFonts w:ascii="Consolas" w:hAnsi="Consolas" w:cs="Consolas"/>
      <w:sz w:val="20"/>
      <w:szCs w:val="20"/>
      <w:lang w:val="en-GB"/>
    </w:rPr>
  </w:style>
  <w:style w:type="character" w:styleId="248">
    <w:name w:val="HTML Sample"/>
    <w:semiHidden/>
    <w:unhideWhenUsed/>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uiPriority w:val="5"/>
    <w:pPr>
      <w:ind w:left="567" w:right="567" w:firstLine="0"/>
    </w:pPr>
  </w:style>
  <w:style w:type="character" w:customStyle="1" w:styleId="270">
    <w:name w:val="Header Char"/>
    <w:link w:val="58"/>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75D27CD8-1AE2-451B-B1F7-6A47D52D8750}">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353</Words>
  <Characters>2148</Characters>
  <Lines>18</Lines>
  <Paragraphs>5</Paragraphs>
  <TotalTime>0</TotalTime>
  <ScaleCrop>false</ScaleCrop>
  <LinksUpToDate>false</LinksUpToDate>
  <CharactersWithSpaces>2456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2025-05-28T07:17:00Z</dcterms:created>
  <dc:creator>mark louie medidas</dc:creator>
  <dc:description>LDIMD - DTU</dc:description>
  <cp:lastModifiedBy> 譞譞</cp:lastModifiedBy>
  <dcterms:modified xsi:type="dcterms:W3CDTF">2025-07-28T15:22:26Z</dcterms:modified>
  <dc:title>NOTIFICATION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eyJoZGlkIjoiZWEyNGVkZDM5MmYzOTVlNjljMjdkYWJlNTRiMTU1MDIiLCJ1c2VySWQiOiI2NjE4MzI4NTIifQ==</vt:lpwstr>
  </property>
  <property fmtid="{D5CDD505-2E9C-101B-9397-08002B2CF9AE}" pid="6" name="KSOProductBuildVer">
    <vt:lpwstr>2052-12.1.0.21915</vt:lpwstr>
  </property>
  <property fmtid="{D5CDD505-2E9C-101B-9397-08002B2CF9AE}" pid="7" name="ICV">
    <vt:lpwstr>BE5538966C5A41A4BE22FE70667DFDCA_12</vt:lpwstr>
  </property>
</Properties>
</file>