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803D0">
      <w:pPr>
        <w:pStyle w:val="84"/>
        <w:rPr>
          <w:caps w:val="0"/>
          <w:kern w:val="0"/>
        </w:rPr>
      </w:pPr>
      <w:r>
        <w:rPr>
          <w:caps w:val="0"/>
          <w:kern w:val="0"/>
        </w:rPr>
        <w:t>NOTIFICATION</w:t>
      </w:r>
    </w:p>
    <w:p w14:paraId="67670E9D">
      <w:pPr>
        <w:jc w:val="center"/>
      </w:pPr>
      <w:r>
        <w:t>The following notification is being circulated in accordance with Article 10.6</w:t>
      </w:r>
    </w:p>
    <w:p w14:paraId="77A884E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A75377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6FEC8DE">
            <w:pPr>
              <w:spacing w:before="120" w:after="120"/>
              <w:jc w:val="left"/>
            </w:pPr>
            <w:r>
              <w:rPr>
                <w:b/>
              </w:rPr>
              <w:t>1.</w:t>
            </w:r>
          </w:p>
        </w:tc>
        <w:tc>
          <w:tcPr>
            <w:tcW w:w="8546" w:type="dxa"/>
            <w:tcBorders>
              <w:bottom w:val="single" w:color="auto" w:sz="6" w:space="0"/>
            </w:tcBorders>
            <w:shd w:val="clear" w:color="auto" w:fill="auto"/>
          </w:tcPr>
          <w:p w14:paraId="476C9C61">
            <w:pPr>
              <w:spacing w:before="120" w:after="120"/>
            </w:pPr>
            <w:r>
              <w:rPr>
                <w:b/>
              </w:rPr>
              <w:t>Notifying Member:</w:t>
            </w:r>
            <w:r>
              <w:t xml:space="preserve"> </w:t>
            </w:r>
            <w:r>
              <w:rPr>
                <w:u w:val="single"/>
              </w:rPr>
              <w:t>REPUBLIC OF KOREA</w:t>
            </w:r>
          </w:p>
          <w:p w14:paraId="2CB803C4">
            <w:pPr>
              <w:spacing w:after="120"/>
            </w:pPr>
            <w:r>
              <w:rPr>
                <w:b/>
              </w:rPr>
              <w:t>If applicable, name of local government involved (Article 3.2 and 7.2):</w:t>
            </w:r>
            <w:r>
              <w:t xml:space="preserve"> </w:t>
            </w:r>
          </w:p>
        </w:tc>
      </w:tr>
      <w:tr w14:paraId="738FE89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DDDB216">
            <w:pPr>
              <w:spacing w:before="120" w:after="120"/>
              <w:jc w:val="left"/>
            </w:pPr>
            <w:r>
              <w:rPr>
                <w:b/>
              </w:rPr>
              <w:t>2.</w:t>
            </w:r>
          </w:p>
        </w:tc>
        <w:tc>
          <w:tcPr>
            <w:tcW w:w="8546" w:type="dxa"/>
            <w:tcBorders>
              <w:top w:val="single" w:color="auto" w:sz="6" w:space="0"/>
              <w:bottom w:val="single" w:color="auto" w:sz="6" w:space="0"/>
            </w:tcBorders>
            <w:shd w:val="clear" w:color="auto" w:fill="auto"/>
          </w:tcPr>
          <w:p w14:paraId="6D05D85F">
            <w:pPr>
              <w:spacing w:before="120" w:after="120"/>
            </w:pPr>
            <w:r>
              <w:rPr>
                <w:b/>
              </w:rPr>
              <w:t>Agency responsible:</w:t>
            </w:r>
            <w:r>
              <w:t xml:space="preserve"> </w:t>
            </w:r>
          </w:p>
          <w:p w14:paraId="2A58A7A3">
            <w:pPr>
              <w:spacing w:after="120"/>
            </w:pPr>
            <w:r>
              <w:t>National Radio Research Agency (RRA)</w:t>
            </w:r>
          </w:p>
          <w:p w14:paraId="0E1E039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p w14:paraId="119DF36A">
            <w:pPr>
              <w:spacing w:after="120"/>
            </w:pPr>
          </w:p>
        </w:tc>
      </w:tr>
      <w:tr w14:paraId="6F8CDB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2DB0D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89537DC">
            <w:pPr>
              <w:spacing w:before="120" w:after="120"/>
            </w:pPr>
            <w:r>
              <w:rPr>
                <w:b/>
              </w:rPr>
              <w:t>Notified under Article 2.9.2 [X], 2.10.1 [ ], 5.6.2 [ ], 5.7.1 [ ], 3.2 [ ], 7.2 [ ], other:</w:t>
            </w:r>
            <w:r>
              <w:t xml:space="preserve"> </w:t>
            </w:r>
          </w:p>
        </w:tc>
      </w:tr>
      <w:tr w14:paraId="5573DF9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trHeight w:val="941" w:hRule="atLeast"/>
        </w:trPr>
        <w:tc>
          <w:tcPr>
            <w:tcW w:w="713" w:type="dxa"/>
            <w:tcBorders>
              <w:top w:val="single" w:color="auto" w:sz="6" w:space="0"/>
              <w:bottom w:val="single" w:color="auto" w:sz="6" w:space="0"/>
            </w:tcBorders>
            <w:shd w:val="clear" w:color="auto" w:fill="auto"/>
          </w:tcPr>
          <w:p w14:paraId="09DCCC64">
            <w:pPr>
              <w:spacing w:before="120" w:after="120"/>
              <w:jc w:val="left"/>
            </w:pPr>
            <w:r>
              <w:rPr>
                <w:b/>
              </w:rPr>
              <w:t>4.</w:t>
            </w:r>
          </w:p>
        </w:tc>
        <w:tc>
          <w:tcPr>
            <w:tcW w:w="8546" w:type="dxa"/>
            <w:tcBorders>
              <w:top w:val="single" w:color="auto" w:sz="6" w:space="0"/>
              <w:bottom w:val="single" w:color="auto" w:sz="6" w:space="0"/>
            </w:tcBorders>
            <w:shd w:val="clear" w:color="auto" w:fill="auto"/>
          </w:tcPr>
          <w:p w14:paraId="06D5DC5F">
            <w:pPr>
              <w:spacing w:before="120" w:after="120"/>
            </w:pPr>
            <w:r>
              <w:rPr>
                <w:b/>
              </w:rPr>
              <w:t>Products covered (HS or CCCN where applicable, otherwise national tariff heading. ICS numbers may be provided in addition, where applicable):</w:t>
            </w:r>
            <w:r>
              <w:t xml:space="preserve"> Hand-held and body-mounted wireless communication devices</w:t>
            </w:r>
          </w:p>
        </w:tc>
      </w:tr>
      <w:tr w14:paraId="512439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554460">
            <w:pPr>
              <w:spacing w:before="120" w:after="120"/>
              <w:jc w:val="left"/>
            </w:pPr>
            <w:r>
              <w:rPr>
                <w:b/>
              </w:rPr>
              <w:t>5.</w:t>
            </w:r>
          </w:p>
        </w:tc>
        <w:tc>
          <w:tcPr>
            <w:tcW w:w="8546" w:type="dxa"/>
            <w:tcBorders>
              <w:top w:val="single" w:color="auto" w:sz="6" w:space="0"/>
              <w:bottom w:val="single" w:color="auto" w:sz="6" w:space="0"/>
            </w:tcBorders>
            <w:shd w:val="clear" w:color="auto" w:fill="auto"/>
          </w:tcPr>
          <w:p w14:paraId="32C20590">
            <w:pPr>
              <w:spacing w:before="120" w:after="120"/>
            </w:pPr>
            <w:r>
              <w:rPr>
                <w:b/>
              </w:rPr>
              <w:t>Title, number of pages and language(s) of the notified document:</w:t>
            </w:r>
            <w:r>
              <w:t xml:space="preserve"> Draft amendment of the technical requirements for the measurement of the specific absorption rate of human exposure; (6 page(s), in Korean)</w:t>
            </w:r>
          </w:p>
        </w:tc>
      </w:tr>
      <w:tr w14:paraId="797280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5B614F5">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3FEC676B">
            <w:pPr>
              <w:spacing w:before="120" w:after="120"/>
              <w:rPr>
                <w:b/>
              </w:rPr>
            </w:pPr>
            <w:r>
              <w:rPr>
                <w:b/>
              </w:rPr>
              <w:t>Description of content:</w:t>
            </w:r>
            <w:r>
              <w:t xml:space="preserve"> This regulation specifies the method for measuring the specific absorption rate (SAR) of human exposure to radio frequency fields from hand-held and body-mounted wireless communication devices.</w:t>
            </w:r>
          </w:p>
          <w:p w14:paraId="583BAB19">
            <w:pPr>
              <w:spacing w:before="120" w:after="120"/>
            </w:pPr>
            <w:r>
              <w:t>This regulation specifies the grace period for the enforcement of the applicable regulation.</w:t>
            </w:r>
          </w:p>
        </w:tc>
      </w:tr>
      <w:tr w14:paraId="730F5A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8BCEE70">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2278B7FA">
            <w:pPr>
              <w:spacing w:before="120" w:after="120"/>
              <w:rPr>
                <w:b/>
              </w:rPr>
            </w:pPr>
            <w:r>
              <w:rPr>
                <w:b/>
              </w:rPr>
              <w:t>Objective and rationale, including the nature of urgent problems where applicable:</w:t>
            </w:r>
            <w:r>
              <w:t xml:space="preserve"> Eliminate redundancy in the method for measuring the specific absorption rate (SAR) and ensure electromagnetic health and safety.</w:t>
            </w:r>
          </w:p>
          <w:p w14:paraId="3A16F79A">
            <w:pPr>
              <w:spacing w:before="120" w:after="120"/>
              <w:rPr>
                <w:b/>
              </w:rPr>
            </w:pPr>
            <w:r>
              <w:t>Respond to conformity assessments in manufacturers and test laboratories, and reliably enforce the applicable regulation.; Protection of human health or safety; Quality requirements</w:t>
            </w:r>
          </w:p>
        </w:tc>
      </w:tr>
      <w:tr w14:paraId="754D43F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F2154A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5DCCD583">
            <w:pPr>
              <w:spacing w:before="120" w:after="120"/>
              <w:rPr>
                <w:bCs/>
              </w:rPr>
            </w:pPr>
            <w:r>
              <w:rPr>
                <w:b/>
              </w:rPr>
              <w:t>Relevant documents:</w:t>
            </w:r>
            <w:r>
              <w:t xml:space="preserve"> </w:t>
            </w:r>
          </w:p>
          <w:p w14:paraId="0703D58F">
            <w:pPr>
              <w:spacing w:before="120" w:after="120"/>
            </w:pPr>
            <w:r>
              <w:t>RRA Public Notice No. 2025-44</w:t>
            </w:r>
          </w:p>
        </w:tc>
      </w:tr>
      <w:tr w14:paraId="6FAA3B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0355312">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08B347EB">
            <w:pPr>
              <w:spacing w:before="120" w:after="120"/>
            </w:pPr>
            <w:r>
              <w:rPr>
                <w:b/>
              </w:rPr>
              <w:t>Proposed date of adoption:</w:t>
            </w:r>
            <w:r>
              <w:t xml:space="preserve"> To be determined</w:t>
            </w:r>
          </w:p>
          <w:p w14:paraId="0992B574">
            <w:pPr>
              <w:spacing w:after="120"/>
            </w:pPr>
            <w:r>
              <w:rPr>
                <w:b/>
              </w:rPr>
              <w:t>Proposed date of entry into force:</w:t>
            </w:r>
            <w:r>
              <w:t xml:space="preserve"> 1 April 2026</w:t>
            </w:r>
          </w:p>
        </w:tc>
      </w:tr>
      <w:tr w14:paraId="0CA188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B1DD8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93D86E3">
            <w:pPr>
              <w:spacing w:before="120" w:after="120"/>
              <w:rPr>
                <w:rFonts w:hint="eastAsia" w:eastAsia="宋体"/>
                <w:bCs/>
                <w:lang w:eastAsia="zh-CN"/>
              </w:rPr>
            </w:pPr>
            <w:r>
              <w:rPr>
                <w:b/>
              </w:rPr>
              <w:t>Final date for comments:</w:t>
            </w:r>
            <w:r>
              <w:t xml:space="preserve"> 26 September 2025</w:t>
            </w:r>
            <w:r>
              <w:rPr>
                <w:rFonts w:hint="eastAsia" w:eastAsia="宋体"/>
                <w:lang w:eastAsia="zh-CN"/>
              </w:rPr>
              <w:t>；</w:t>
            </w:r>
          </w:p>
          <w:p w14:paraId="586C9D9C">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59E76022">
            <w:pPr>
              <w:spacing w:before="120" w:after="120"/>
            </w:pPr>
            <w:r>
              <w:rPr>
                <w:b/>
                <w:bCs/>
              </w:rPr>
              <w:t>Contact details of agency or authority designated to handle comments regarding the notification:</w:t>
            </w:r>
            <w:r>
              <w:t xml:space="preserve"> </w:t>
            </w:r>
          </w:p>
          <w:p w14:paraId="46104CEF">
            <w:r>
              <w:t>Korea WTO TBT Enquiry Point</w:t>
            </w:r>
          </w:p>
          <w:p w14:paraId="7A645040">
            <w:r>
              <w:t>Technical Regulatory Policy Division</w:t>
            </w:r>
          </w:p>
          <w:p w14:paraId="7567A8DF">
            <w:r>
              <w:t>Korean Agency for Technology and Standards (KATS)</w:t>
            </w:r>
          </w:p>
          <w:p w14:paraId="24C67C82">
            <w:r>
              <w:t>93 Isu-ro Maengdong-myeon Eumseong-gun</w:t>
            </w:r>
          </w:p>
          <w:p w14:paraId="6DA346B0">
            <w:r>
              <w:t>Chungchungbuk-do</w:t>
            </w:r>
          </w:p>
          <w:p w14:paraId="2BDBC85F">
            <w:r>
              <w:t>27737</w:t>
            </w:r>
          </w:p>
          <w:p w14:paraId="29A2B6DC">
            <w:r>
              <w:t>Tel: +(82) 43 870 5315</w:t>
            </w:r>
          </w:p>
          <w:p w14:paraId="624DE14C">
            <w:r>
              <w:t>Fax: +(82) 43 870 5682</w:t>
            </w:r>
          </w:p>
          <w:p w14:paraId="60C91678">
            <w:r>
              <w:t xml:space="preserve">Email: </w:t>
            </w:r>
            <w:r>
              <w:fldChar w:fldCharType="begin"/>
            </w:r>
            <w:r>
              <w:instrText xml:space="preserve"> HYPERLINK "mailto:tbt@korea.kr" </w:instrText>
            </w:r>
            <w:r>
              <w:fldChar w:fldCharType="separate"/>
            </w:r>
            <w:r>
              <w:rPr>
                <w:color w:val="0000FF"/>
                <w:u w:val="single"/>
              </w:rPr>
              <w:t>tbt@korea.kr</w:t>
            </w:r>
            <w:r>
              <w:rPr>
                <w:color w:val="0000FF"/>
                <w:u w:val="single"/>
              </w:rPr>
              <w:fldChar w:fldCharType="end"/>
            </w:r>
          </w:p>
          <w:p w14:paraId="48C1858E">
            <w:pPr>
              <w:spacing w:before="120" w:after="120"/>
            </w:pPr>
            <w:r>
              <w:t xml:space="preserve">Website: </w:t>
            </w:r>
            <w:r>
              <w:fldChar w:fldCharType="begin"/>
            </w:r>
            <w:r>
              <w:instrText xml:space="preserve"> HYPERLINK "https://www.knowtbt.kr" \t "_blank" </w:instrText>
            </w:r>
            <w:r>
              <w:fldChar w:fldCharType="separate"/>
            </w:r>
            <w:r>
              <w:rPr>
                <w:color w:val="0000FF"/>
                <w:u w:val="single"/>
              </w:rPr>
              <w:t>https://www.knowtbt.kr</w:t>
            </w:r>
            <w:r>
              <w:rPr>
                <w:color w:val="0000FF"/>
                <w:u w:val="single"/>
              </w:rPr>
              <w:fldChar w:fldCharType="end"/>
            </w:r>
          </w:p>
        </w:tc>
      </w:tr>
      <w:tr w14:paraId="0682CD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BF95A63">
            <w:pPr>
              <w:keepNext/>
              <w:keepLines/>
              <w:spacing w:before="120" w:after="120"/>
              <w:jc w:val="left"/>
              <w:rPr>
                <w:b/>
              </w:rPr>
            </w:pPr>
            <w:r>
              <w:rPr>
                <w:b/>
              </w:rPr>
              <w:t>11.</w:t>
            </w:r>
          </w:p>
        </w:tc>
        <w:tc>
          <w:tcPr>
            <w:tcW w:w="8546" w:type="dxa"/>
            <w:tcBorders>
              <w:top w:val="single" w:color="auto" w:sz="6" w:space="0"/>
            </w:tcBorders>
            <w:shd w:val="clear" w:color="auto" w:fill="auto"/>
          </w:tcPr>
          <w:p w14:paraId="180D5272">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2183C6F3">
            <w:pPr>
              <w:rPr>
                <w:iCs/>
              </w:rPr>
            </w:pPr>
            <w:r>
              <w:rPr>
                <w:iCs/>
              </w:rPr>
              <w:t>National Radio Research Agency (RRA)</w:t>
            </w:r>
          </w:p>
          <w:p w14:paraId="577427ED">
            <w:pPr>
              <w:rPr>
                <w:iCs/>
              </w:rPr>
            </w:pPr>
            <w:r>
              <w:rPr>
                <w:iCs/>
              </w:rPr>
              <w:t>767 Bitgaram-ro, Naju-si, Jeollanam-do</w:t>
            </w:r>
          </w:p>
          <w:p w14:paraId="1E2C8C29">
            <w:pPr>
              <w:rPr>
                <w:iCs/>
              </w:rPr>
            </w:pPr>
            <w:r>
              <w:rPr>
                <w:iCs/>
              </w:rPr>
              <w:t>Republic of Korea 58323</w:t>
            </w:r>
          </w:p>
          <w:p w14:paraId="2E09CB4D">
            <w:pPr>
              <w:rPr>
                <w:iCs/>
              </w:rPr>
            </w:pPr>
            <w:r>
              <w:rPr>
                <w:iCs/>
              </w:rPr>
              <w:t>Tel: (+82) 61 338 4572</w:t>
            </w:r>
          </w:p>
          <w:p w14:paraId="48C90A9C">
            <w:pPr>
              <w:rPr>
                <w:iCs/>
              </w:rPr>
            </w:pPr>
            <w:r>
              <w:rPr>
                <w:iCs/>
              </w:rPr>
              <w:t>Fax: (+82) 61 338 4519</w:t>
            </w:r>
          </w:p>
          <w:p w14:paraId="63A8E101">
            <w:pPr>
              <w:rPr>
                <w:iCs/>
              </w:rPr>
            </w:pPr>
            <w:r>
              <w:rPr>
                <w:iCs/>
              </w:rPr>
              <w:t xml:space="preserve">E-mail: </w:t>
            </w:r>
            <w:r>
              <w:fldChar w:fldCharType="begin"/>
            </w:r>
            <w:r>
              <w:instrText xml:space="preserve"> HYPERLINK "mailto:ybk4u@korea.kr" </w:instrText>
            </w:r>
            <w:r>
              <w:fldChar w:fldCharType="separate"/>
            </w:r>
            <w:r>
              <w:rPr>
                <w:iCs/>
                <w:color w:val="0000FF"/>
                <w:u w:val="single"/>
              </w:rPr>
              <w:t>ybk4u@korea.kr</w:t>
            </w:r>
            <w:r>
              <w:rPr>
                <w:iCs/>
                <w:color w:val="0000FF"/>
                <w:u w:val="single"/>
              </w:rPr>
              <w:fldChar w:fldCharType="end"/>
            </w:r>
          </w:p>
          <w:p w14:paraId="29AA8F54">
            <w:pPr>
              <w:pBdr>
                <w:top w:val="none" w:color="auto" w:sz="0" w:space="4"/>
                <w:bottom w:val="none" w:color="auto" w:sz="0" w:space="4"/>
              </w:pBdr>
              <w:rPr>
                <w:iCs/>
                <w:color w:val="0000FF"/>
                <w:u w:val="single"/>
              </w:rPr>
            </w:pPr>
            <w:r>
              <w:rPr>
                <w:iCs/>
              </w:rPr>
              <w:t xml:space="preserve">Homepage: </w:t>
            </w:r>
            <w:r>
              <w:fldChar w:fldCharType="begin"/>
            </w:r>
            <w:r>
              <w:instrText xml:space="preserve"> HYPERLINK "http://www.rra.go.kr" \t "_blank" </w:instrText>
            </w:r>
            <w:r>
              <w:fldChar w:fldCharType="separate"/>
            </w:r>
            <w:r>
              <w:rPr>
                <w:iCs/>
                <w:color w:val="0000FF"/>
                <w:u w:val="single"/>
              </w:rPr>
              <w:t>http://www.rra.go.kr</w:t>
            </w:r>
            <w:r>
              <w:rPr>
                <w:iCs/>
                <w:color w:val="0000FF"/>
                <w:u w:val="single"/>
              </w:rPr>
              <w:fldChar w:fldCharType="end"/>
            </w:r>
          </w:p>
          <w:p w14:paraId="12FB151B">
            <w:pPr>
              <w:pBdr>
                <w:top w:val="none" w:color="auto" w:sz="0" w:space="4"/>
                <w:bottom w:val="none" w:color="auto" w:sz="0" w:space="4"/>
              </w:pBdr>
              <w:rPr>
                <w:iCs/>
                <w:color w:val="0000FF"/>
                <w:u w:val="single"/>
              </w:rPr>
            </w:pPr>
          </w:p>
          <w:p w14:paraId="7B87BDA8">
            <w:pPr>
              <w:pBdr>
                <w:top w:val="none" w:color="auto" w:sz="0" w:space="4"/>
                <w:bottom w:val="none" w:color="auto" w:sz="0" w:space="4"/>
              </w:pBdr>
              <w:rPr>
                <w:iCs/>
              </w:rPr>
            </w:pPr>
            <w:r>
              <w:fldChar w:fldCharType="begin"/>
            </w:r>
            <w:r>
              <w:instrText xml:space="preserve"> HYPERLINK "https://members.wto.org/crnattachments/2025/TBT/KOR/25_04894_00_x.pdf" \t "_blank" </w:instrText>
            </w:r>
            <w:r>
              <w:fldChar w:fldCharType="separate"/>
            </w:r>
            <w:r>
              <w:rPr>
                <w:iCs/>
                <w:color w:val="0000FF"/>
                <w:u w:val="single"/>
              </w:rPr>
              <w:t>https://members.wto.org/crnattachments/2025/TBT/KOR/25_04894_00_x.pdf</w:t>
            </w:r>
            <w:r>
              <w:rPr>
                <w:iCs/>
                <w:color w:val="0000FF"/>
                <w:u w:val="single"/>
              </w:rPr>
              <w:fldChar w:fldCharType="end"/>
            </w:r>
          </w:p>
          <w:p w14:paraId="5D1666CD">
            <w:pPr>
              <w:keepNext/>
              <w:keepLines/>
              <w:pBdr>
                <w:top w:val="none" w:color="auto" w:sz="0" w:space="4"/>
              </w:pBdr>
              <w:spacing w:after="120"/>
              <w:rPr>
                <w:bCs/>
              </w:rPr>
            </w:pPr>
          </w:p>
        </w:tc>
      </w:tr>
    </w:tbl>
    <w:p w14:paraId="66207D25"/>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9E78">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E0C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137A4">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F7926">
    <w:pPr>
      <w:pStyle w:val="58"/>
      <w:pBdr>
        <w:bottom w:val="single" w:color="auto" w:sz="4" w:space="1"/>
      </w:pBdr>
      <w:tabs>
        <w:tab w:val="clear" w:pos="4513"/>
        <w:tab w:val="clear" w:pos="9027"/>
      </w:tabs>
      <w:jc w:val="center"/>
    </w:pPr>
    <w:bookmarkStart w:id="9" w:name="spsSymbolHeader"/>
    <w:r>
      <w:t>G/TBT/N/KOR/1294</w:t>
    </w:r>
    <w:bookmarkEnd w:id="9"/>
  </w:p>
  <w:p w14:paraId="2F977BDA">
    <w:pPr>
      <w:pStyle w:val="58"/>
      <w:pBdr>
        <w:bottom w:val="single" w:color="auto" w:sz="4" w:space="1"/>
      </w:pBdr>
      <w:tabs>
        <w:tab w:val="clear" w:pos="4513"/>
        <w:tab w:val="clear" w:pos="9027"/>
      </w:tabs>
      <w:jc w:val="center"/>
    </w:pPr>
  </w:p>
  <w:p w14:paraId="617713E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042E66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35CB9">
    <w:pPr>
      <w:pStyle w:val="58"/>
      <w:pBdr>
        <w:bottom w:val="single" w:color="auto" w:sz="4" w:space="1"/>
      </w:pBdr>
      <w:tabs>
        <w:tab w:val="clear" w:pos="4513"/>
        <w:tab w:val="clear" w:pos="9027"/>
      </w:tabs>
      <w:jc w:val="center"/>
    </w:pPr>
    <w:r>
      <w:t>tbtSymbol</w:t>
    </w:r>
  </w:p>
  <w:p w14:paraId="3C992928">
    <w:pPr>
      <w:pStyle w:val="58"/>
      <w:pBdr>
        <w:bottom w:val="single" w:color="auto" w:sz="4" w:space="1"/>
      </w:pBdr>
      <w:tabs>
        <w:tab w:val="clear" w:pos="4513"/>
        <w:tab w:val="clear" w:pos="9027"/>
      </w:tabs>
      <w:jc w:val="center"/>
    </w:pPr>
  </w:p>
  <w:p w14:paraId="5ACCB86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ACBFFB7">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9084CF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E01712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85DFEE5">
          <w:pPr>
            <w:jc w:val="right"/>
            <w:rPr>
              <w:b/>
              <w:color w:val="FF0000"/>
              <w:szCs w:val="16"/>
            </w:rPr>
          </w:pPr>
        </w:p>
      </w:tc>
    </w:tr>
    <w:bookmarkEnd w:id="0"/>
    <w:tr w14:paraId="62DAFF39">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0E7E6FCA">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3933EC0">
          <w:pPr>
            <w:jc w:val="right"/>
            <w:rPr>
              <w:b/>
              <w:szCs w:val="16"/>
            </w:rPr>
          </w:pPr>
        </w:p>
      </w:tc>
    </w:tr>
    <w:tr w14:paraId="70A787B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67E25BF">
          <w:pPr>
            <w:jc w:val="left"/>
            <w:rPr>
              <w:lang w:eastAsia="en-GB"/>
            </w:rPr>
          </w:pPr>
        </w:p>
      </w:tc>
      <w:tc>
        <w:tcPr>
          <w:tcW w:w="5448" w:type="dxa"/>
          <w:gridSpan w:val="2"/>
          <w:shd w:val="clear" w:color="auto" w:fill="FFFFFF"/>
          <w:tcMar>
            <w:left w:w="108" w:type="dxa"/>
            <w:right w:w="108" w:type="dxa"/>
          </w:tcMar>
        </w:tcPr>
        <w:p w14:paraId="307AC36A">
          <w:pPr>
            <w:jc w:val="right"/>
            <w:rPr>
              <w:rFonts w:hint="eastAsia" w:eastAsia="宋体"/>
              <w:b/>
              <w:szCs w:val="16"/>
              <w:lang w:eastAsia="zh-CN"/>
            </w:rPr>
          </w:pPr>
          <w:bookmarkStart w:id="1" w:name="bmkSymbols"/>
          <w:r>
            <w:rPr>
              <w:b/>
              <w:szCs w:val="16"/>
            </w:rPr>
            <w:t>G/TBT/N/KOR/129</w:t>
          </w:r>
          <w:bookmarkEnd w:id="1"/>
          <w:r>
            <w:rPr>
              <w:rFonts w:hint="eastAsia" w:eastAsia="宋体"/>
              <w:b/>
              <w:szCs w:val="16"/>
              <w:lang w:val="en-US" w:eastAsia="zh-CN"/>
            </w:rPr>
            <w:t>6</w:t>
          </w:r>
        </w:p>
      </w:tc>
    </w:tr>
    <w:tr w14:paraId="13B9F4C9">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660F030C"/>
      </w:tc>
      <w:tc>
        <w:tcPr>
          <w:tcW w:w="5448" w:type="dxa"/>
          <w:gridSpan w:val="2"/>
          <w:shd w:val="clear" w:color="auto" w:fill="FFFFFF"/>
          <w:tcMar>
            <w:left w:w="108" w:type="dxa"/>
            <w:right w:w="108" w:type="dxa"/>
          </w:tcMar>
          <w:vAlign w:val="center"/>
        </w:tcPr>
        <w:p w14:paraId="68F4D5C6">
          <w:pPr>
            <w:jc w:val="right"/>
            <w:rPr>
              <w:szCs w:val="16"/>
            </w:rPr>
          </w:pPr>
          <w:bookmarkStart w:id="2" w:name="spsDateDistribution"/>
          <w:bookmarkStart w:id="3" w:name="bmkDate"/>
          <w:r>
            <w:rPr>
              <w:szCs w:val="16"/>
            </w:rPr>
            <w:t xml:space="preserve">28 </w:t>
          </w:r>
          <w:r>
            <w:rPr>
              <w:rFonts w:hint="eastAsia" w:eastAsia="宋体"/>
              <w:szCs w:val="16"/>
              <w:lang w:val="en-US" w:eastAsia="zh-CN"/>
            </w:rPr>
            <w:t>Jul</w:t>
          </w:r>
          <w:r>
            <w:rPr>
              <w:szCs w:val="16"/>
            </w:rPr>
            <w:t>y</w:t>
          </w:r>
          <w:bookmarkStart w:id="10" w:name="_GoBack"/>
          <w:bookmarkEnd w:id="10"/>
          <w:r>
            <w:rPr>
              <w:szCs w:val="16"/>
            </w:rPr>
            <w:t xml:space="preserve"> 2025</w:t>
          </w:r>
          <w:bookmarkEnd w:id="2"/>
          <w:bookmarkEnd w:id="3"/>
        </w:p>
      </w:tc>
    </w:tr>
    <w:tr w14:paraId="4E363B5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FF06D0D">
          <w:pPr>
            <w:jc w:val="left"/>
            <w:rPr>
              <w:b/>
            </w:rPr>
          </w:pPr>
          <w:bookmarkStart w:id="4" w:name="bmkSerial"/>
          <w:r>
            <w:rPr>
              <w:b w:val="0"/>
              <w:color w:val="FF0000"/>
            </w:rPr>
            <w:t>(25-</w:t>
          </w:r>
          <w:r>
            <w:rPr>
              <w:rFonts w:hint="eastAsia" w:eastAsia="宋体"/>
              <w:b w:val="0"/>
              <w:color w:val="FF0000"/>
              <w:lang w:val="en-US" w:eastAsia="zh-CN"/>
            </w:rPr>
            <w:t>4858</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594881B">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CFBFE5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1904A89">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678824E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A5A373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0474"/>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2A78"/>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4F425E"/>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3708"/>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B4439"/>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60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7121B05"/>
    <w:rsid w:val="5B346DB9"/>
    <w:rsid w:val="730A3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unhideWhenUsed="0" w:uiPriority="2" w:semiHidden="0" w:name="heading 9"/>
    <w:lsdException w:uiPriority="99" w:name="index 1"/>
    <w:lsdException w:qFormat="1"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qFormat="1" w:unhideWhenUsed="0" w:uiPriority="39" w:semiHidden="0" w:name="toc 5"/>
    <w:lsdException w:qFormat="1"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5" w:semiHidden="0" w:name="footnote text"/>
    <w:lsdException w:uiPriority="99" w:semiHidden="0" w:name="annotation text"/>
    <w:lsdException w:qFormat="1"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qFormat="1" w:uiPriority="99" w:name="List Continue 2"/>
    <w:lsdException w:uiPriority="99" w:name="List Continue 3"/>
    <w:lsdException w:uiPriority="99" w:name="List Continue 4"/>
    <w:lsdException w:uiPriority="99" w:name="List Continue 5"/>
    <w:lsdException w:qFormat="1"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27CD8-1AE2-451B-B1F7-6A47D52D8750}">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387</Words>
  <Characters>2341</Characters>
  <Lines>18</Lines>
  <Paragraphs>5</Paragraphs>
  <TotalTime>0</TotalTime>
  <ScaleCrop>false</ScaleCrop>
  <LinksUpToDate>false</LinksUpToDate>
  <CharactersWithSpaces>2683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2025-05-28T07:17:00Z</dcterms:created>
  <dc:creator>mark louie medidas</dc:creator>
  <dc:description>LDIMD - DTU</dc:description>
  <cp:lastModifiedBy> 譞譞</cp:lastModifiedBy>
  <dcterms:modified xsi:type="dcterms:W3CDTF">2025-07-28T15:22:13Z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BE5538966C5A41A4BE22FE70667DFDCA_12</vt:lpwstr>
  </property>
</Properties>
</file>