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67854718">
            <w:pPr>
              <w:spacing w:after="120"/>
            </w:pPr>
            <w:r>
              <w:t>Ministry of Food and Drug Safety</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 ], 5.6.2 [ ],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06D5DC5F">
            <w:pPr>
              <w:spacing w:before="120" w:after="120"/>
            </w:pPr>
            <w:r>
              <w:rPr>
                <w:b/>
              </w:rPr>
              <w:t>Products covered (HS or CCCN where applicable, otherwise national tariff heading. ICS numbers may be provided in addition, where applicable):</w:t>
            </w:r>
            <w:r>
              <w:t xml:space="preserve"> Pharmaceuticals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372CEA45">
            <w:pPr>
              <w:spacing w:before="120" w:after="120"/>
            </w:pPr>
            <w:r>
              <w:rPr>
                <w:b/>
              </w:rPr>
              <w:t>Title, number of pages and language(s) of the notified document:</w:t>
            </w:r>
            <w:r>
              <w:t xml:space="preserve"> Proposed amendments to the "Regulation on Safety of Pharmaceuticals, etc."; (13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09C20EE">
            <w:pPr>
              <w:spacing w:before="120" w:after="120"/>
              <w:rPr>
                <w:b/>
              </w:rPr>
            </w:pPr>
            <w:r>
              <w:rPr>
                <w:b/>
              </w:rPr>
              <w:t>Description of content:</w:t>
            </w:r>
            <w:r>
              <w:t xml:space="preserve"> The Korean Ministry of Food and Drug Safety is proposing the amendments of the "Regulation on Safety of Pharmaceuticals, etc." as follows: </w:t>
            </w:r>
          </w:p>
          <w:p w14:paraId="27D0F4C1">
            <w:pPr>
              <w:spacing w:before="120" w:after="120"/>
            </w:pPr>
            <w:r>
              <w:t>1) Improvement of the operation of DSUR (Development Safety Update Report) for investigational drug (Article 30 of the draft)</w:t>
            </w:r>
          </w:p>
          <w:p w14:paraId="3B00B629">
            <w:pPr>
              <w:spacing w:before="120" w:after="120"/>
            </w:pPr>
            <w:r>
              <w:t>When a person who has received approval for protocol implements DSUR on an investigational drug on a regular basis(annually) to the Ministry of Food and Drug Safety, in addition to the regular DSUR reporting date, the first marketing authorization date home and abroad for the drug can be set as the reporting date.</w:t>
            </w:r>
          </w:p>
          <w:p w14:paraId="2D5D785E">
            <w:pPr>
              <w:spacing w:before="120" w:after="120"/>
            </w:pPr>
            <w:r>
              <w:t>2) Revision of the provision on prohibited acquisition through illegal distribution of drugs (Deletion of Article 62-2)</w:t>
            </w:r>
          </w:p>
          <w:p w14:paraId="0495F53D">
            <w:pPr>
              <w:spacing w:before="120" w:after="120"/>
            </w:pPr>
            <w:r>
              <w:t>As the amendment of Enforcement Decree of the Narcotics Control Act to designate drug containing Etomidate as narcotics was announced in advance of legislation (from February 28, 2025 to April 10, 2025), the provision prohibiting illegal acquisition of drug containing Etomidate will be deleted.</w:t>
            </w:r>
          </w:p>
          <w:p w14:paraId="59F988D0">
            <w:pPr>
              <w:spacing w:before="120" w:after="120"/>
            </w:pPr>
            <w:r>
              <w:t>3) Change of how to regulate the application fee for national lot release (Article 64 of the draft)</w:t>
            </w:r>
          </w:p>
          <w:p w14:paraId="23DFDDB3">
            <w:pPr>
              <w:spacing w:before="120" w:after="120"/>
            </w:pPr>
            <w:r>
              <w:t>The method of regulating the application fee for national lot release will be changed from stipulating it in a sub-regulation to posting it on an official website</w:t>
            </w:r>
          </w:p>
          <w:p w14:paraId="0FF2F0F6">
            <w:pPr>
              <w:spacing w:before="120" w:after="120"/>
            </w:pPr>
            <w:r>
              <w:t>4) Improvement of a GMP inspector certificate for pharmaceuticals (No. 82-6 of format)</w:t>
            </w:r>
          </w:p>
          <w:p w14:paraId="774B7102">
            <w:pPr>
              <w:spacing w:before="120" w:after="120"/>
            </w:pPr>
            <w:r>
              <w:t>English translation can be included in GMP inspector certificate for pharmaceuticals, the certificate material can be improved, and a mobile certificate can be issued.</w:t>
            </w:r>
          </w:p>
          <w:p w14:paraId="54B6720D">
            <w:pPr>
              <w:spacing w:before="120" w:after="120"/>
            </w:pPr>
            <w:r>
              <w:t>5) Update on other Articles (Article 11 of the draft)</w:t>
            </w:r>
          </w:p>
          <w:p w14:paraId="418E19BF">
            <w:pPr>
              <w:spacing w:before="120" w:after="120"/>
            </w:pPr>
            <w:r>
              <w:t>The number of paragraphs in Articles, which were changed before, but not reflected, were updated and corrected in accordance with the Pharmaceutical Affairs Act and subordinate statutes.</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3140BA4">
            <w:pPr>
              <w:spacing w:before="120" w:after="120"/>
              <w:rPr>
                <w:b/>
              </w:rPr>
            </w:pPr>
            <w:r>
              <w:rPr>
                <w:b/>
              </w:rPr>
              <w:t>Objective and rationale, including the nature of urgent problems where applicable:</w:t>
            </w:r>
            <w:r>
              <w:t xml:space="preserve"> Protection of human health or safety</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62E757B">
            <w:pPr>
              <w:spacing w:before="120" w:after="120"/>
              <w:rPr>
                <w:bCs/>
              </w:rPr>
            </w:pPr>
            <w:r>
              <w:rPr>
                <w:b/>
              </w:rPr>
              <w:t>Relevant documents:</w:t>
            </w:r>
            <w:r>
              <w:t xml:space="preserve"> </w:t>
            </w:r>
          </w:p>
          <w:p w14:paraId="0323343C">
            <w:pPr>
              <w:spacing w:before="120" w:after="120"/>
            </w:pPr>
            <w:r>
              <w:t>MFDS NOTIFICATION No. 2025-243, 27 June 2025</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12ADD007">
            <w:pPr>
              <w:spacing w:before="120" w:after="120"/>
            </w:pPr>
            <w:r>
              <w:rPr>
                <w:b/>
              </w:rPr>
              <w:t>Proposed date of adoption:</w:t>
            </w:r>
            <w:r>
              <w:t xml:space="preserve"> To be determined</w:t>
            </w:r>
          </w:p>
          <w:p w14:paraId="20FFCFE6">
            <w:pPr>
              <w:spacing w:after="120"/>
            </w:pPr>
            <w:r>
              <w:rPr>
                <w:b/>
              </w:rPr>
              <w:t>Proposed date of entry into force:</w:t>
            </w:r>
            <w:r>
              <w:t xml:space="preserve"> To be determined</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26 September 2025</w:t>
            </w:r>
            <w:r>
              <w:rPr>
                <w:rFonts w:hint="eastAsia" w:eastAsia="宋体"/>
                <w:lang w:eastAsia="zh-CN"/>
              </w:rPr>
              <w:t>；</w:t>
            </w:r>
          </w:p>
          <w:p w14:paraId="586C9D9C">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59E76022">
            <w:pPr>
              <w:spacing w:before="120" w:after="120"/>
            </w:pPr>
            <w:r>
              <w:rPr>
                <w:b/>
                <w:bCs/>
              </w:rPr>
              <w:t>Contact details of agency or authority designated to handle comments regarding the notification:</w:t>
            </w:r>
            <w:r>
              <w:t xml:space="preserve"> </w:t>
            </w:r>
          </w:p>
          <w:p w14:paraId="1C5FD8DD">
            <w:r>
              <w:t>Korea WTO TBT Enquiry Point</w:t>
            </w:r>
          </w:p>
          <w:p w14:paraId="240F47F7">
            <w:r>
              <w:t>Technical Regulatory Policy Division</w:t>
            </w:r>
          </w:p>
          <w:p w14:paraId="7948929D">
            <w:r>
              <w:t>Korean Agency for Technology and Standards (KATS)</w:t>
            </w:r>
          </w:p>
          <w:p w14:paraId="702D809A">
            <w:r>
              <w:t>93 Isu-ro Maengdong-myeon Eumseong-gun</w:t>
            </w:r>
          </w:p>
          <w:p w14:paraId="1CAB7F9F">
            <w:r>
              <w:t>Chungchungbuk-do</w:t>
            </w:r>
          </w:p>
          <w:p w14:paraId="7A4BAAFC">
            <w:r>
              <w:t>27737</w:t>
            </w:r>
          </w:p>
          <w:p w14:paraId="43EB768A">
            <w:r>
              <w:t>Tel: +(82) 43 870 5315</w:t>
            </w:r>
          </w:p>
          <w:p w14:paraId="3B2F62AD">
            <w:r>
              <w:t>Fax: +(82) 43 870 5682</w:t>
            </w:r>
          </w:p>
          <w:p w14:paraId="23E958D2">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7CF3F1B1">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6F463FA">
            <w:pPr>
              <w:rPr>
                <w:iCs/>
              </w:rPr>
            </w:pPr>
            <w:r>
              <w:rPr>
                <w:iCs/>
              </w:rPr>
              <w:t>Documents are available from the Ministry of Food and Drug safety (MFDS) website: www.mfds.go.kr</w:t>
            </w:r>
          </w:p>
          <w:p w14:paraId="08AC3F0C">
            <w:pPr>
              <w:rPr>
                <w:iCs/>
              </w:rPr>
            </w:pPr>
            <w:r>
              <w:rPr>
                <w:iCs/>
              </w:rPr>
              <w:t>International Cooperation Office</w:t>
            </w:r>
          </w:p>
          <w:p w14:paraId="52FB5EF0">
            <w:pPr>
              <w:rPr>
                <w:iCs/>
              </w:rPr>
            </w:pPr>
            <w:r>
              <w:rPr>
                <w:iCs/>
              </w:rPr>
              <w:t>Ministry of Food and Drug Safety</w:t>
            </w:r>
          </w:p>
          <w:p w14:paraId="10760424">
            <w:pPr>
              <w:rPr>
                <w:iCs/>
              </w:rPr>
            </w:pPr>
            <w:r>
              <w:rPr>
                <w:iCs/>
              </w:rPr>
              <w:t>187 Osongsaengmyeong2-ro, Osong-eup, Heungdeok-gu Cheongju-si, Chungcheongbuk-do, 28159</w:t>
            </w:r>
          </w:p>
          <w:p w14:paraId="1A89A296">
            <w:pPr>
              <w:rPr>
                <w:iCs/>
              </w:rPr>
            </w:pPr>
            <w:r>
              <w:rPr>
                <w:iCs/>
              </w:rPr>
              <w:t>Republic of Korea</w:t>
            </w:r>
          </w:p>
          <w:p w14:paraId="2D2F0F3D">
            <w:pPr>
              <w:rPr>
                <w:iCs/>
              </w:rPr>
            </w:pPr>
            <w:r>
              <w:rPr>
                <w:iCs/>
              </w:rPr>
              <w:t>Tel: (+82) 43 719-1564</w:t>
            </w:r>
          </w:p>
          <w:p w14:paraId="01685A3A">
            <w:pPr>
              <w:rPr>
                <w:iCs/>
              </w:rPr>
            </w:pPr>
            <w:r>
              <w:rPr>
                <w:iCs/>
              </w:rPr>
              <w:t>Fax: (+82) 43-719-1550</w:t>
            </w:r>
          </w:p>
          <w:p w14:paraId="2A9A6D19">
            <w:pPr>
              <w:pBdr>
                <w:top w:val="none" w:color="auto" w:sz="0" w:space="4"/>
                <w:bottom w:val="none" w:color="auto" w:sz="0" w:space="4"/>
              </w:pBdr>
              <w:rPr>
                <w:iCs/>
                <w:color w:val="0000FF"/>
                <w:u w:val="single"/>
              </w:rPr>
            </w:pPr>
            <w:r>
              <w:rPr>
                <w:iCs/>
              </w:rPr>
              <w:t xml:space="preserve">Email: </w:t>
            </w:r>
            <w:r>
              <w:fldChar w:fldCharType="begin"/>
            </w:r>
            <w:r>
              <w:instrText xml:space="preserve"> HYPERLINK "mailto:intmfds@korea.kr" </w:instrText>
            </w:r>
            <w:r>
              <w:fldChar w:fldCharType="separate"/>
            </w:r>
            <w:r>
              <w:rPr>
                <w:iCs/>
                <w:color w:val="0000FF"/>
                <w:u w:val="single"/>
              </w:rPr>
              <w:t>intmfds@korea.kr</w:t>
            </w:r>
            <w:r>
              <w:rPr>
                <w:iCs/>
                <w:color w:val="0000FF"/>
                <w:u w:val="single"/>
              </w:rPr>
              <w:fldChar w:fldCharType="end"/>
            </w:r>
          </w:p>
          <w:p w14:paraId="1508791A">
            <w:pPr>
              <w:pBdr>
                <w:top w:val="none" w:color="auto" w:sz="0" w:space="4"/>
                <w:bottom w:val="none" w:color="auto" w:sz="0" w:space="4"/>
              </w:pBdr>
              <w:rPr>
                <w:iCs/>
                <w:color w:val="0000FF"/>
                <w:u w:val="single"/>
              </w:rPr>
            </w:pPr>
          </w:p>
          <w:p w14:paraId="359EC4E5">
            <w:pPr>
              <w:pBdr>
                <w:top w:val="none" w:color="auto" w:sz="0" w:space="4"/>
                <w:bottom w:val="none" w:color="auto" w:sz="0" w:space="4"/>
              </w:pBdr>
              <w:rPr>
                <w:iCs/>
              </w:rPr>
            </w:pPr>
            <w:r>
              <w:fldChar w:fldCharType="begin"/>
            </w:r>
            <w:r>
              <w:instrText xml:space="preserve"> HYPERLINK "https://members.wto.org/crnattachments/2025/TBT/KOR/25_04893_00_x.pdf" \t "_blank" </w:instrText>
            </w:r>
            <w:r>
              <w:fldChar w:fldCharType="separate"/>
            </w:r>
            <w:r>
              <w:rPr>
                <w:iCs/>
                <w:color w:val="0000FF"/>
                <w:u w:val="single"/>
              </w:rPr>
              <w:t>https://members.wto.org/crnattachments/2025/TBT/KOR/25_04893_00_x.pdf</w:t>
            </w:r>
            <w:r>
              <w:rPr>
                <w:iCs/>
                <w:color w:val="0000FF"/>
                <w:u w:val="single"/>
              </w:rPr>
              <w:fldChar w:fldCharType="end"/>
            </w:r>
          </w:p>
          <w:p w14:paraId="7BAEAB07">
            <w:pPr>
              <w:keepNext/>
              <w:keepLines/>
              <w:pBdr>
                <w:top w:val="none" w:color="auto" w:sz="0" w:space="4"/>
              </w:pBdr>
              <w:spacing w:after="120"/>
              <w:rPr>
                <w:bCs/>
              </w:rPr>
            </w:pPr>
          </w:p>
        </w:tc>
      </w:tr>
    </w:tbl>
    <w:p w14:paraId="446EA4C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eastAsia" w:eastAsia="宋体"/>
              <w:b/>
              <w:szCs w:val="16"/>
              <w:lang w:eastAsia="zh-CN"/>
            </w:rPr>
          </w:pPr>
          <w:bookmarkStart w:id="1" w:name="bmkSymbols"/>
          <w:r>
            <w:rPr>
              <w:b/>
              <w:szCs w:val="16"/>
            </w:rPr>
            <w:t>G/TBT/N/KOR/129</w:t>
          </w:r>
          <w:bookmarkEnd w:id="1"/>
          <w:r>
            <w:rPr>
              <w:rFonts w:hint="eastAsia" w:eastAsia="宋体"/>
              <w:b/>
              <w:szCs w:val="16"/>
              <w:lang w:val="en-US" w:eastAsia="zh-CN"/>
            </w:rPr>
            <w:t>5</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szCs w:val="16"/>
            </w:rPr>
            <w:t xml:space="preserve">28 </w:t>
          </w:r>
          <w:bookmarkStart w:id="10" w:name="_GoBack"/>
          <w:r>
            <w:rPr>
              <w:rFonts w:hint="eastAsia" w:eastAsia="宋体"/>
              <w:szCs w:val="16"/>
              <w:lang w:val="en-US" w:eastAsia="zh-CN"/>
            </w:rPr>
            <w:t>Jul</w:t>
          </w:r>
          <w:r>
            <w:rPr>
              <w:szCs w:val="16"/>
            </w:rPr>
            <w:t>y</w:t>
          </w:r>
          <w:bookmarkEnd w:id="10"/>
          <w:r>
            <w:rPr>
              <w:szCs w:val="16"/>
            </w:rPr>
            <w:t xml:space="preserve">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4857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589B0013"/>
    <w:rsid w:val="5B346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qFormat="1"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qFormat="1"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qFormat="1" w:uiPriority="99" w:name="Table List 3"/>
    <w:lsdException w:qFormat="1" w:uiPriority="99" w:name="Table List 4"/>
    <w:lsdException w:qFormat="1" w:uiPriority="99" w:name="Table List 5"/>
    <w:lsdException w:uiPriority="99" w:name="Table List 6"/>
    <w:lsdException w:qFormat="1" w:uiPriority="99" w:name="Table List 7"/>
    <w:lsdException w:uiPriority="99" w:name="Table List 8"/>
    <w:lsdException w:uiPriority="99" w:name="Table 3D effects 1"/>
    <w:lsdException w:uiPriority="99" w:name="Table 3D effects 2"/>
    <w:lsdException w:uiPriority="99" w:name="Table 3D effects 3"/>
    <w:lsdException w:qFormat="1"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75D27CD8-1AE2-451B-B1F7-6A47D52D875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593</Words>
  <Characters>3401</Characters>
  <Lines>18</Lines>
  <Paragraphs>5</Paragraphs>
  <TotalTime>0</TotalTime>
  <ScaleCrop>false</ScaleCrop>
  <LinksUpToDate>false</LinksUpToDate>
  <CharactersWithSpaces>3941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2025-07-28T15:22:01Z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