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AFD9">
      <w:pPr>
        <w:pStyle w:val="84"/>
        <w:rPr>
          <w:caps w:val="0"/>
          <w:kern w:val="0"/>
        </w:rPr>
      </w:pPr>
      <w:r>
        <w:rPr>
          <w:caps w:val="0"/>
          <w:kern w:val="0"/>
        </w:rPr>
        <w:t>NOTIFICATION</w:t>
      </w:r>
    </w:p>
    <w:p w14:paraId="5E52F45E">
      <w:pPr>
        <w:jc w:val="center"/>
      </w:pPr>
      <w:r>
        <w:t>The following notification is being circulated in accordance with Article 10.6</w:t>
      </w:r>
    </w:p>
    <w:p w14:paraId="2F75A08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6E969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E9B2CFC">
            <w:pPr>
              <w:spacing w:before="120" w:after="120"/>
              <w:jc w:val="left"/>
            </w:pPr>
            <w:r>
              <w:rPr>
                <w:b/>
              </w:rPr>
              <w:t>1.</w:t>
            </w:r>
          </w:p>
        </w:tc>
        <w:tc>
          <w:tcPr>
            <w:tcW w:w="8546" w:type="dxa"/>
            <w:tcBorders>
              <w:bottom w:val="single" w:color="auto" w:sz="6" w:space="0"/>
            </w:tcBorders>
            <w:shd w:val="clear" w:color="auto" w:fill="auto"/>
          </w:tcPr>
          <w:p w14:paraId="32199B43">
            <w:pPr>
              <w:spacing w:before="120" w:after="120"/>
            </w:pPr>
            <w:r>
              <w:rPr>
                <w:b/>
              </w:rPr>
              <w:t>Notifying Member:</w:t>
            </w:r>
            <w:r>
              <w:t xml:space="preserve"> </w:t>
            </w:r>
            <w:r>
              <w:rPr>
                <w:u w:val="single"/>
              </w:rPr>
              <w:t>CANADA</w:t>
            </w:r>
          </w:p>
          <w:p w14:paraId="1B661968">
            <w:pPr>
              <w:spacing w:after="120"/>
            </w:pPr>
            <w:r>
              <w:rPr>
                <w:b/>
              </w:rPr>
              <w:t>If applicable, name of local government involved (Article 3.2 and 7.2):</w:t>
            </w:r>
            <w:r>
              <w:t xml:space="preserve"> </w:t>
            </w:r>
          </w:p>
        </w:tc>
      </w:tr>
      <w:tr w14:paraId="14567D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8F679B">
            <w:pPr>
              <w:spacing w:before="120" w:after="120"/>
              <w:jc w:val="left"/>
            </w:pPr>
            <w:r>
              <w:rPr>
                <w:b/>
              </w:rPr>
              <w:t>2.</w:t>
            </w:r>
          </w:p>
        </w:tc>
        <w:tc>
          <w:tcPr>
            <w:tcW w:w="8546" w:type="dxa"/>
            <w:tcBorders>
              <w:top w:val="single" w:color="auto" w:sz="6" w:space="0"/>
              <w:bottom w:val="single" w:color="auto" w:sz="6" w:space="0"/>
            </w:tcBorders>
            <w:shd w:val="clear" w:color="auto" w:fill="auto"/>
          </w:tcPr>
          <w:p w14:paraId="1F8665C0">
            <w:pPr>
              <w:spacing w:before="120" w:after="120"/>
            </w:pPr>
            <w:r>
              <w:rPr>
                <w:b/>
              </w:rPr>
              <w:t>Agency responsible:</w:t>
            </w:r>
            <w:r>
              <w:t xml:space="preserve"> </w:t>
            </w:r>
          </w:p>
          <w:p w14:paraId="45F97F69">
            <w:pPr>
              <w:spacing w:after="120"/>
            </w:pPr>
            <w:r>
              <w:t>Department of Transport</w:t>
            </w:r>
          </w:p>
          <w:p w14:paraId="766936C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383996AF">
            <w:pPr>
              <w:spacing w:after="120"/>
            </w:pPr>
          </w:p>
        </w:tc>
      </w:tr>
      <w:tr w14:paraId="56556D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2A02CE">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BA6F87">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16C337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667F04D">
            <w:pPr>
              <w:spacing w:before="120" w:after="120"/>
              <w:jc w:val="left"/>
            </w:pPr>
            <w:r>
              <w:rPr>
                <w:b/>
              </w:rPr>
              <w:t>4.</w:t>
            </w:r>
          </w:p>
        </w:tc>
        <w:tc>
          <w:tcPr>
            <w:tcW w:w="8546" w:type="dxa"/>
            <w:tcBorders>
              <w:top w:val="single" w:color="auto" w:sz="6" w:space="0"/>
              <w:bottom w:val="single" w:color="auto" w:sz="6" w:space="0"/>
            </w:tcBorders>
            <w:shd w:val="clear" w:color="auto" w:fill="auto"/>
          </w:tcPr>
          <w:p w14:paraId="7C7A7876">
            <w:pPr>
              <w:spacing w:before="120" w:after="120"/>
            </w:pPr>
            <w:r>
              <w:rPr>
                <w:b/>
              </w:rPr>
              <w:t>Products covered (HS or CCCN where applicable, otherwise national tariff heading. ICS numbers may be provided in addition, where applicable):</w:t>
            </w:r>
            <w:r>
              <w:t xml:space="preserve"> Motor vehicle: (ICS: 43.020, 43.080)</w:t>
            </w:r>
          </w:p>
        </w:tc>
      </w:tr>
      <w:tr w14:paraId="6ED30F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FE312C">
            <w:pPr>
              <w:spacing w:before="120" w:after="120"/>
              <w:jc w:val="left"/>
            </w:pPr>
            <w:r>
              <w:rPr>
                <w:b/>
              </w:rPr>
              <w:t>5.</w:t>
            </w:r>
          </w:p>
        </w:tc>
        <w:tc>
          <w:tcPr>
            <w:tcW w:w="8546" w:type="dxa"/>
            <w:tcBorders>
              <w:top w:val="single" w:color="auto" w:sz="6" w:space="0"/>
              <w:bottom w:val="single" w:color="auto" w:sz="6" w:space="0"/>
            </w:tcBorders>
            <w:shd w:val="clear" w:color="auto" w:fill="auto"/>
          </w:tcPr>
          <w:p w14:paraId="1AE0E063">
            <w:pPr>
              <w:spacing w:before="120" w:after="120"/>
            </w:pPr>
            <w:r>
              <w:rPr>
                <w:b/>
              </w:rPr>
              <w:t>Title, number of pages and language(s) of the notified document:</w:t>
            </w:r>
            <w:r>
              <w:t xml:space="preserve"> Various changes to the Motor Vehicle Safety Regulations (MVSR); 8 pages (consultation 5, background 3) available in English and French</w:t>
            </w:r>
          </w:p>
        </w:tc>
      </w:tr>
      <w:tr w14:paraId="0D6E75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1FBB41B">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0B1D9632">
            <w:pPr>
              <w:spacing w:before="120" w:after="120"/>
              <w:rPr>
                <w:b/>
              </w:rPr>
            </w:pPr>
            <w:r>
              <w:rPr>
                <w:b/>
              </w:rPr>
              <w:t>Description of content:</w:t>
            </w:r>
            <w:r>
              <w:t xml:space="preserve"> Transport Canada is considering updating the </w:t>
            </w:r>
            <w:r>
              <w:rPr>
                <w:i/>
                <w:iCs/>
              </w:rPr>
              <w:t>Motor Vehicle Safety Regulations</w:t>
            </w:r>
            <w:r>
              <w:t xml:space="preserve"> to: </w:t>
            </w:r>
          </w:p>
          <w:p w14:paraId="44EA425C">
            <w:pPr>
              <w:numPr>
                <w:ilvl w:val="0"/>
                <w:numId w:val="7"/>
              </w:numPr>
              <w:spacing w:before="120" w:after="120"/>
            </w:pPr>
            <w:r>
              <w:t>remove the month and year from the title of Test Methods incorporated by reference in the MVSR,</w:t>
            </w:r>
          </w:p>
          <w:p w14:paraId="7CCC8BAD">
            <w:pPr>
              <w:numPr>
                <w:ilvl w:val="0"/>
                <w:numId w:val="7"/>
              </w:numPr>
              <w:spacing w:before="120" w:after="120"/>
            </w:pPr>
            <w:r>
              <w:t>remove outdated transitional provisions,</w:t>
            </w:r>
          </w:p>
          <w:p w14:paraId="45C7F50A">
            <w:pPr>
              <w:numPr>
                <w:ilvl w:val="0"/>
                <w:numId w:val="7"/>
              </w:numPr>
              <w:spacing w:before="120" w:after="120"/>
            </w:pPr>
            <w:r>
              <w:t xml:space="preserve">update the SAE J3069, </w:t>
            </w:r>
            <w:r>
              <w:rPr>
                <w:i/>
                <w:iCs/>
              </w:rPr>
              <w:t>Adaptive driving beam</w:t>
            </w:r>
            <w:r>
              <w:t>, reference</w:t>
            </w:r>
          </w:p>
          <w:p w14:paraId="6C29E6DC">
            <w:pPr>
              <w:numPr>
                <w:ilvl w:val="0"/>
                <w:numId w:val="7"/>
              </w:numPr>
              <w:spacing w:before="120" w:after="120"/>
            </w:pPr>
            <w:r>
              <w:t>correct a conversion error for mirror rear visibility requirements, and,</w:t>
            </w:r>
          </w:p>
          <w:p w14:paraId="5D8D309E">
            <w:pPr>
              <w:spacing w:before="120" w:after="120"/>
            </w:pPr>
            <w:r>
              <w:t>update the United Nations regulation references for Noise Emissions.</w:t>
            </w:r>
          </w:p>
        </w:tc>
      </w:tr>
      <w:tr w14:paraId="5FBE51A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1934EDD">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1AF5A7D">
            <w:pPr>
              <w:spacing w:before="120" w:after="120"/>
              <w:rPr>
                <w:b/>
              </w:rPr>
            </w:pPr>
            <w:r>
              <w:rPr>
                <w:b/>
              </w:rPr>
              <w:t>Objective and rationale, including the nature of urgent problems where applicable:</w:t>
            </w:r>
            <w:r>
              <w:t xml:space="preserve"> Transport Canada is considering these changes to the </w:t>
            </w:r>
            <w:r>
              <w:rPr>
                <w:i/>
                <w:iCs/>
              </w:rPr>
              <w:t>Motor Vehicle Safety Regulations</w:t>
            </w:r>
            <w:r>
              <w:t>, to:</w:t>
            </w:r>
          </w:p>
          <w:p w14:paraId="626FDC34">
            <w:pPr>
              <w:numPr>
                <w:ilvl w:val="0"/>
                <w:numId w:val="8"/>
              </w:numPr>
              <w:spacing w:before="120" w:after="120"/>
            </w:pPr>
            <w:r>
              <w:t>update the references now that the regulations permit this amendment,</w:t>
            </w:r>
          </w:p>
          <w:p w14:paraId="78A668E6">
            <w:pPr>
              <w:numPr>
                <w:ilvl w:val="0"/>
                <w:numId w:val="8"/>
              </w:numPr>
              <w:spacing w:before="120" w:after="120"/>
            </w:pPr>
            <w:r>
              <w:t>make the requirements easier to read,</w:t>
            </w:r>
          </w:p>
          <w:p w14:paraId="4E34344E">
            <w:pPr>
              <w:numPr>
                <w:ilvl w:val="0"/>
                <w:numId w:val="8"/>
              </w:numPr>
              <w:spacing w:before="120" w:after="120"/>
            </w:pPr>
            <w:r>
              <w:t>update the reference to the latest version,</w:t>
            </w:r>
          </w:p>
          <w:p w14:paraId="5D7A826E">
            <w:pPr>
              <w:numPr>
                <w:ilvl w:val="0"/>
                <w:numId w:val="8"/>
              </w:numPr>
              <w:spacing w:before="120" w:after="120"/>
            </w:pPr>
            <w:r>
              <w:t>harmonize the requirements with those of the United States, and,</w:t>
            </w:r>
          </w:p>
          <w:p w14:paraId="20E5B4DD">
            <w:pPr>
              <w:numPr>
                <w:ilvl w:val="0"/>
                <w:numId w:val="8"/>
              </w:numPr>
              <w:spacing w:before="120" w:after="120"/>
              <w:ind w:left="720" w:leftChars="0" w:hanging="360" w:firstLineChars="0"/>
              <w:rPr>
                <w:b/>
              </w:rPr>
            </w:pPr>
            <w:r>
              <w:t>update the references to the latest United Nations regulations.</w:t>
            </w:r>
          </w:p>
        </w:tc>
      </w:tr>
      <w:tr w14:paraId="5A195C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3500FB9">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C4175E9">
            <w:pPr>
              <w:spacing w:before="120" w:after="120"/>
              <w:rPr>
                <w:bCs/>
              </w:rPr>
            </w:pPr>
            <w:r>
              <w:rPr>
                <w:b/>
              </w:rPr>
              <w:t>Relevant documents:</w:t>
            </w:r>
            <w:r>
              <w:t xml:space="preserve"> </w:t>
            </w:r>
          </w:p>
          <w:p w14:paraId="68862A54">
            <w:pPr>
              <w:spacing w:before="120" w:after="120"/>
            </w:pPr>
            <w:r>
              <w:rPr>
                <w:i/>
                <w:iCs/>
              </w:rPr>
              <w:t xml:space="preserve">Consultation: Various changes to the Motor Vehicle Safety Regulations (MVSR) </w:t>
            </w:r>
          </w:p>
          <w:p w14:paraId="43C6FBA8">
            <w:pPr>
              <w:spacing w:before="120" w:after="120"/>
            </w:pPr>
            <w:r>
              <w:fldChar w:fldCharType="begin"/>
            </w:r>
            <w:r>
              <w:instrText xml:space="preserve"> HYPERLINK "https://tc.canada.ca/en/corporate-services/consultations/various-changes-motor-vehicle-safety-regulations-mvsr" </w:instrText>
            </w:r>
            <w:r>
              <w:fldChar w:fldCharType="separate"/>
            </w:r>
            <w:r>
              <w:rPr>
                <w:color w:val="0000FF"/>
                <w:u w:val="single"/>
              </w:rPr>
              <w:t>https://tc.canada.ca/en/corporate-services/consultations/various-changes-motor-vehicle-safety-regulations-mvsr</w:t>
            </w:r>
            <w:r>
              <w:rPr>
                <w:color w:val="0000FF"/>
                <w:u w:val="single"/>
              </w:rPr>
              <w:fldChar w:fldCharType="end"/>
            </w:r>
            <w:r>
              <w:t xml:space="preserve"> (available in English and French)</w:t>
            </w:r>
          </w:p>
          <w:p w14:paraId="6F27AF60">
            <w:pPr>
              <w:spacing w:before="120" w:after="120"/>
            </w:pPr>
            <w:r>
              <w:rPr>
                <w:i/>
                <w:iCs/>
              </w:rPr>
              <w:t xml:space="preserve">Background: Annex A </w:t>
            </w:r>
          </w:p>
          <w:p w14:paraId="24F02403">
            <w:pPr>
              <w:spacing w:before="120" w:after="120"/>
            </w:pPr>
            <w:r>
              <w:fldChar w:fldCharType="begin"/>
            </w:r>
            <w:r>
              <w:instrText xml:space="preserve"> HYPERLINK "https://tc.canada.ca/en/corporate-services/consultations/annex-1-list-mvsr-subsections-have-outdated-dates-will-be-amended" </w:instrText>
            </w:r>
            <w:r>
              <w:fldChar w:fldCharType="separate"/>
            </w:r>
            <w:r>
              <w:rPr>
                <w:color w:val="0000FF"/>
                <w:u w:val="single"/>
              </w:rPr>
              <w:t>https://tc.canada.ca/en/corporate-services/consultations/annex-1-list-mvsr-subsections-have-outdated-dates-will-be-amended</w:t>
            </w:r>
            <w:r>
              <w:rPr>
                <w:color w:val="0000FF"/>
                <w:u w:val="single"/>
              </w:rPr>
              <w:fldChar w:fldCharType="end"/>
            </w:r>
            <w:r>
              <w:t xml:space="preserve"> (available in English and French)</w:t>
            </w:r>
          </w:p>
        </w:tc>
      </w:tr>
      <w:tr w14:paraId="08847C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A068046">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4702DDA0">
            <w:pPr>
              <w:spacing w:before="120" w:after="120"/>
            </w:pPr>
            <w:r>
              <w:rPr>
                <w:b/>
              </w:rPr>
              <w:t>Proposed date of adoption:</w:t>
            </w:r>
            <w:r>
              <w:t xml:space="preserve"> On the date of publication in the Canada Gazette, Part II.</w:t>
            </w:r>
          </w:p>
          <w:p w14:paraId="04C5F49C">
            <w:pPr>
              <w:spacing w:after="120"/>
            </w:pPr>
            <w:r>
              <w:rPr>
                <w:b/>
              </w:rPr>
              <w:t>Proposed date of entry into force:</w:t>
            </w:r>
            <w:r>
              <w:t xml:space="preserve"> These Regulations would come into force on the day on which they are published in the Canada Gazette, Part II with a transitional provision for some requirements.</w:t>
            </w:r>
          </w:p>
        </w:tc>
      </w:tr>
      <w:tr w14:paraId="4C73E7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D9D156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DDB4800">
            <w:pPr>
              <w:spacing w:before="120" w:after="120"/>
            </w:pPr>
            <w:r>
              <w:rPr>
                <w:b/>
              </w:rPr>
              <w:t>Final date for comments:</w:t>
            </w:r>
            <w:r>
              <w:t xml:space="preserve"> 23 September 2025</w:t>
            </w:r>
            <w:r>
              <w:rPr>
                <w:rFonts w:hint="eastAsia" w:eastAsia="宋体"/>
                <w:lang w:eastAsia="zh-CN"/>
              </w:rPr>
              <w:t>；</w:t>
            </w:r>
            <w:bookmarkStart w:id="10" w:name="_GoBack"/>
            <w:bookmarkEnd w:id="10"/>
            <w:r>
              <w:rPr>
                <w:b/>
                <w:bCs/>
              </w:rPr>
              <w:t>Contact details of agency or authority designated to handle comments regarding the notification:</w:t>
            </w:r>
            <w:r>
              <w:t xml:space="preserve"> </w:t>
            </w:r>
          </w:p>
          <w:p w14:paraId="706616D1">
            <w:r>
              <w:t>Canada's Notification Authority and Enquiry Point</w:t>
            </w:r>
          </w:p>
          <w:p w14:paraId="17864292">
            <w:r>
              <w:t>Global Affairs Canada</w:t>
            </w:r>
          </w:p>
          <w:p w14:paraId="14B48B39">
            <w:r>
              <w:t>Technical Barriers and Regulations Division</w:t>
            </w:r>
          </w:p>
          <w:p w14:paraId="6D4DB550">
            <w:r>
              <w:t>111 Sussex Drive</w:t>
            </w:r>
          </w:p>
          <w:p w14:paraId="5931B353">
            <w:r>
              <w:t>Ottawa, ON K1A 0G2</w:t>
            </w:r>
          </w:p>
          <w:p w14:paraId="62B95B54">
            <w:r>
              <w:t>Canada</w:t>
            </w:r>
          </w:p>
          <w:p w14:paraId="7BF1A018">
            <w:r>
              <w:t>Telephone: (343)203-4273</w:t>
            </w:r>
          </w:p>
          <w:p w14:paraId="7F97BF36">
            <w:r>
              <w:t>Fax: (613)943-0346</w:t>
            </w:r>
          </w:p>
          <w:p w14:paraId="750ACDF2">
            <w:pPr>
              <w:spacing w:before="120" w:after="120"/>
            </w:pPr>
            <w:r>
              <w:t xml:space="preserve">Email: </w:t>
            </w:r>
            <w:r>
              <w:fldChar w:fldCharType="begin"/>
            </w:r>
            <w:r>
              <w:instrText xml:space="preserve"> HYPERLINK "mailto:enquirypoint@international.gc.ca" </w:instrText>
            </w:r>
            <w:r>
              <w:fldChar w:fldCharType="separate"/>
            </w:r>
            <w:r>
              <w:rPr>
                <w:color w:val="0000FF"/>
                <w:u w:val="single"/>
              </w:rPr>
              <w:t>enquirypoint@international.gc.ca</w:t>
            </w:r>
            <w:r>
              <w:rPr>
                <w:color w:val="0000FF"/>
                <w:u w:val="single"/>
              </w:rPr>
              <w:fldChar w:fldCharType="end"/>
            </w:r>
          </w:p>
        </w:tc>
      </w:tr>
      <w:tr w14:paraId="76F285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57F52EC">
            <w:pPr>
              <w:keepNext/>
              <w:keepLines/>
              <w:spacing w:before="120" w:after="120"/>
              <w:jc w:val="left"/>
              <w:rPr>
                <w:b/>
              </w:rPr>
            </w:pPr>
            <w:r>
              <w:rPr>
                <w:b/>
              </w:rPr>
              <w:t>11.</w:t>
            </w:r>
          </w:p>
        </w:tc>
        <w:tc>
          <w:tcPr>
            <w:tcW w:w="8546" w:type="dxa"/>
            <w:tcBorders>
              <w:top w:val="single" w:color="auto" w:sz="6" w:space="0"/>
            </w:tcBorders>
            <w:shd w:val="clear" w:color="auto" w:fill="auto"/>
          </w:tcPr>
          <w:p w14:paraId="509CD870">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064D5B7">
            <w:pPr>
              <w:rPr>
                <w:iCs/>
              </w:rPr>
            </w:pPr>
            <w:r>
              <w:rPr>
                <w:iCs/>
              </w:rPr>
              <w:t>Canada's Notification Authority and Enquiry Point</w:t>
            </w:r>
          </w:p>
          <w:p w14:paraId="7767B09C">
            <w:pPr>
              <w:rPr>
                <w:iCs/>
              </w:rPr>
            </w:pPr>
            <w:r>
              <w:rPr>
                <w:iCs/>
              </w:rPr>
              <w:t>Global Affairs Canada</w:t>
            </w:r>
          </w:p>
          <w:p w14:paraId="5FEF366C">
            <w:pPr>
              <w:rPr>
                <w:iCs/>
              </w:rPr>
            </w:pPr>
            <w:r>
              <w:rPr>
                <w:iCs/>
              </w:rPr>
              <w:t>Technical Barriers and Regulations Division</w:t>
            </w:r>
          </w:p>
          <w:p w14:paraId="7707C0D8">
            <w:pPr>
              <w:rPr>
                <w:iCs/>
              </w:rPr>
            </w:pPr>
            <w:r>
              <w:rPr>
                <w:iCs/>
              </w:rPr>
              <w:t>111 Sussex Drive</w:t>
            </w:r>
          </w:p>
          <w:p w14:paraId="7F7E2915">
            <w:pPr>
              <w:rPr>
                <w:iCs/>
              </w:rPr>
            </w:pPr>
            <w:r>
              <w:rPr>
                <w:iCs/>
              </w:rPr>
              <w:t>Ottawa, ON K1A 0G2</w:t>
            </w:r>
          </w:p>
          <w:p w14:paraId="25FB0C55">
            <w:pPr>
              <w:rPr>
                <w:iCs/>
              </w:rPr>
            </w:pPr>
            <w:r>
              <w:rPr>
                <w:iCs/>
              </w:rPr>
              <w:t>Canada</w:t>
            </w:r>
          </w:p>
          <w:p w14:paraId="2B14DC8A">
            <w:pPr>
              <w:rPr>
                <w:iCs/>
              </w:rPr>
            </w:pPr>
            <w:r>
              <w:rPr>
                <w:iCs/>
              </w:rPr>
              <w:t>Telephone: (343)203-4273</w:t>
            </w:r>
          </w:p>
          <w:p w14:paraId="5A5D74CB">
            <w:pPr>
              <w:rPr>
                <w:iCs/>
              </w:rPr>
            </w:pPr>
            <w:r>
              <w:rPr>
                <w:iCs/>
              </w:rPr>
              <w:t>Fax: (613)943-0346</w:t>
            </w:r>
          </w:p>
          <w:p w14:paraId="537F9652">
            <w:pPr>
              <w:keepNext/>
              <w:keepLines/>
              <w:spacing w:after="120"/>
              <w:rPr>
                <w:bCs/>
              </w:rPr>
            </w:pPr>
            <w:r>
              <w:rPr>
                <w:iCs/>
              </w:rPr>
              <w:t xml:space="preserve">Email: </w:t>
            </w:r>
            <w:r>
              <w:fldChar w:fldCharType="begin"/>
            </w:r>
            <w:r>
              <w:instrText xml:space="preserve"> HYPERLINK "mailto:enquirypoint@international.gc.ca" </w:instrText>
            </w:r>
            <w:r>
              <w:fldChar w:fldCharType="separate"/>
            </w:r>
            <w:r>
              <w:rPr>
                <w:iCs/>
                <w:color w:val="0000FF"/>
                <w:u w:val="single"/>
              </w:rPr>
              <w:t>enquirypoint@international.gc.ca</w:t>
            </w:r>
            <w:r>
              <w:rPr>
                <w:iCs/>
                <w:color w:val="0000FF"/>
                <w:u w:val="single"/>
              </w:rPr>
              <w:fldChar w:fldCharType="end"/>
            </w:r>
          </w:p>
        </w:tc>
      </w:tr>
    </w:tbl>
    <w:p w14:paraId="285CFA3D"/>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38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3EC0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E08D7">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10A1">
    <w:pPr>
      <w:pStyle w:val="58"/>
      <w:pBdr>
        <w:bottom w:val="single" w:color="auto" w:sz="4" w:space="1"/>
      </w:pBdr>
      <w:tabs>
        <w:tab w:val="clear" w:pos="4513"/>
        <w:tab w:val="clear" w:pos="9027"/>
      </w:tabs>
      <w:jc w:val="center"/>
    </w:pPr>
    <w:bookmarkStart w:id="0" w:name="spsSymbolHeader"/>
    <w:r>
      <w:t>G/TBT/N/CAN/746</w:t>
    </w:r>
    <w:bookmarkEnd w:id="0"/>
  </w:p>
  <w:p w14:paraId="6A81CEBF">
    <w:pPr>
      <w:pStyle w:val="58"/>
      <w:pBdr>
        <w:bottom w:val="single" w:color="auto" w:sz="4" w:space="1"/>
      </w:pBdr>
      <w:tabs>
        <w:tab w:val="clear" w:pos="4513"/>
        <w:tab w:val="clear" w:pos="9027"/>
      </w:tabs>
      <w:jc w:val="center"/>
    </w:pPr>
  </w:p>
  <w:p w14:paraId="10E562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B02D460">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A682A">
    <w:pPr>
      <w:pStyle w:val="58"/>
      <w:pBdr>
        <w:bottom w:val="single" w:color="auto" w:sz="4" w:space="1"/>
      </w:pBdr>
      <w:tabs>
        <w:tab w:val="clear" w:pos="4513"/>
        <w:tab w:val="clear" w:pos="9027"/>
      </w:tabs>
      <w:jc w:val="center"/>
    </w:pPr>
    <w:r>
      <w:t>tbtSymbol</w:t>
    </w:r>
  </w:p>
  <w:p w14:paraId="7C4B104F">
    <w:pPr>
      <w:pStyle w:val="58"/>
      <w:pBdr>
        <w:bottom w:val="single" w:color="auto" w:sz="4" w:space="1"/>
      </w:pBdr>
      <w:tabs>
        <w:tab w:val="clear" w:pos="4513"/>
        <w:tab w:val="clear" w:pos="9027"/>
      </w:tabs>
      <w:jc w:val="center"/>
    </w:pPr>
  </w:p>
  <w:p w14:paraId="66BDAD0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5A47310">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3E8F08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CFED967">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27E6FF9D">
          <w:pPr>
            <w:jc w:val="right"/>
            <w:rPr>
              <w:b/>
              <w:color w:val="FF0000"/>
              <w:szCs w:val="16"/>
            </w:rPr>
          </w:pPr>
        </w:p>
      </w:tc>
    </w:tr>
    <w:bookmarkEnd w:id="1"/>
    <w:tr w14:paraId="33787AB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A60DB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0CE3FF5">
          <w:pPr>
            <w:jc w:val="right"/>
            <w:rPr>
              <w:b/>
              <w:szCs w:val="16"/>
            </w:rPr>
          </w:pPr>
        </w:p>
      </w:tc>
    </w:tr>
    <w:tr w14:paraId="2AC37B5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0096B52">
          <w:pPr>
            <w:jc w:val="left"/>
            <w:rPr>
              <w:lang w:eastAsia="en-GB"/>
            </w:rPr>
          </w:pPr>
        </w:p>
      </w:tc>
      <w:tc>
        <w:tcPr>
          <w:tcW w:w="5448" w:type="dxa"/>
          <w:gridSpan w:val="2"/>
          <w:shd w:val="clear" w:color="auto" w:fill="FFFFFF"/>
          <w:tcMar>
            <w:left w:w="108" w:type="dxa"/>
            <w:right w:w="108" w:type="dxa"/>
          </w:tcMar>
        </w:tcPr>
        <w:p w14:paraId="7466E747">
          <w:pPr>
            <w:jc w:val="right"/>
            <w:rPr>
              <w:rFonts w:hint="eastAsia" w:eastAsia="宋体"/>
              <w:b/>
              <w:szCs w:val="16"/>
              <w:lang w:eastAsia="zh-CN"/>
            </w:rPr>
          </w:pPr>
          <w:bookmarkStart w:id="2" w:name="bmkSymbols"/>
          <w:r>
            <w:rPr>
              <w:b/>
              <w:szCs w:val="16"/>
            </w:rPr>
            <w:t>G/TBT/N/CAN/74</w:t>
          </w:r>
          <w:bookmarkEnd w:id="2"/>
          <w:r>
            <w:rPr>
              <w:rFonts w:hint="eastAsia" w:eastAsia="宋体"/>
              <w:b/>
              <w:szCs w:val="16"/>
              <w:lang w:val="en-US" w:eastAsia="zh-CN"/>
            </w:rPr>
            <w:t>8</w:t>
          </w:r>
        </w:p>
      </w:tc>
    </w:tr>
    <w:tr w14:paraId="520F935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8608045"/>
      </w:tc>
      <w:tc>
        <w:tcPr>
          <w:tcW w:w="5448" w:type="dxa"/>
          <w:gridSpan w:val="2"/>
          <w:shd w:val="clear" w:color="auto" w:fill="FFFFFF"/>
          <w:tcMar>
            <w:left w:w="108" w:type="dxa"/>
            <w:right w:w="108" w:type="dxa"/>
          </w:tcMar>
          <w:vAlign w:val="center"/>
        </w:tcPr>
        <w:p w14:paraId="1925969C">
          <w:pPr>
            <w:jc w:val="right"/>
            <w:rPr>
              <w:szCs w:val="16"/>
            </w:rPr>
          </w:pPr>
          <w:bookmarkStart w:id="3" w:name="spsDateDistribution"/>
          <w:bookmarkStart w:id="4" w:name="bmkDate"/>
          <w:r>
            <w:rPr>
              <w:szCs w:val="16"/>
            </w:rPr>
            <w:t>28 July  2025</w:t>
          </w:r>
          <w:bookmarkEnd w:id="3"/>
          <w:bookmarkEnd w:id="4"/>
        </w:p>
      </w:tc>
    </w:tr>
    <w:tr w14:paraId="0CBFC99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A948B68">
          <w:pPr>
            <w:jc w:val="left"/>
            <w:rPr>
              <w:b/>
            </w:rPr>
          </w:pPr>
          <w:bookmarkStart w:id="5" w:name="bmkSerial"/>
          <w:r>
            <w:rPr>
              <w:b w:val="0"/>
              <w:color w:val="FF0000"/>
            </w:rPr>
            <w:t>(25-</w:t>
          </w:r>
          <w:r>
            <w:rPr>
              <w:rFonts w:hint="eastAsia" w:eastAsia="宋体"/>
              <w:b w:val="0"/>
              <w:color w:val="FF0000"/>
              <w:lang w:val="en-US" w:eastAsia="zh-CN"/>
            </w:rPr>
            <w:t>4846</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6FB4F8F5">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3D21306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4A55FA0">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475258B0">
          <w:pPr>
            <w:jc w:val="right"/>
            <w:rPr>
              <w:bCs/>
              <w:szCs w:val="18"/>
            </w:rPr>
          </w:pPr>
          <w:bookmarkStart w:id="8" w:name="bmkLanguage"/>
          <w:r>
            <w:rPr>
              <w:bCs/>
              <w:szCs w:val="18"/>
            </w:rPr>
            <w:t xml:space="preserve">Original: </w:t>
          </w:r>
          <w:bookmarkStart w:id="9" w:name="spsOriginalLanguage"/>
          <w:r>
            <w:rPr>
              <w:bCs/>
              <w:szCs w:val="18"/>
            </w:rPr>
            <w:t>English, French</w:t>
          </w:r>
          <w:bookmarkEnd w:id="8"/>
          <w:bookmarkEnd w:id="9"/>
        </w:p>
      </w:tc>
    </w:tr>
  </w:tbl>
  <w:p w14:paraId="3D4BB34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63D526BC"/>
    <w:multiLevelType w:val="multilevel"/>
    <w:tmpl w:val="63D526BC"/>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6E6D"/>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257B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573C8"/>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3C77B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uiPriority="39" w:semiHidden="0" w:name="toa heading"/>
    <w:lsdException w:uiPriority="99" w:name="List"/>
    <w:lsdException w:qFormat="1"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qFormat="1"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357</Words>
  <Characters>2456</Characters>
  <Lines>23</Lines>
  <Paragraphs>6</Paragraphs>
  <TotalTime>0</TotalTime>
  <ScaleCrop>false</ScaleCrop>
  <LinksUpToDate>false</LinksUpToDate>
  <CharactersWithSpaces>2767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2025-06-03T09:49:00Z</dcterms:created>
  <dc:creator>mark louie medidas</dc:creator>
  <dc:description>LDIMD - DTU</dc:description>
  <cp:lastModifiedBy> 譞譞</cp:lastModifiedBy>
  <dcterms:modified xsi:type="dcterms:W3CDTF">2025-07-28T14:29:14Z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727F9A273BBD44DABBED449568BCA056_12</vt:lpwstr>
  </property>
</Properties>
</file>