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B3CA66">
      <w:pPr>
        <w:pStyle w:val="84"/>
        <w:rPr>
          <w:caps w:val="0"/>
          <w:kern w:val="0"/>
        </w:rPr>
      </w:pPr>
      <w:r>
        <w:rPr>
          <w:caps w:val="0"/>
          <w:kern w:val="0"/>
        </w:rPr>
        <w:t>NOTIFICATION</w:t>
      </w:r>
    </w:p>
    <w:p w14:paraId="136874F0">
      <w:pPr>
        <w:jc w:val="center"/>
      </w:pPr>
      <w:r>
        <w:t>The following notification is being circulated in accordance with Article 10.6</w:t>
      </w:r>
    </w:p>
    <w:p w14:paraId="295AD269"/>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52477DF0">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1C46DAF7">
            <w:pPr>
              <w:spacing w:before="120" w:after="120"/>
              <w:jc w:val="left"/>
            </w:pPr>
            <w:r>
              <w:rPr>
                <w:b/>
              </w:rPr>
              <w:t>1.</w:t>
            </w:r>
          </w:p>
        </w:tc>
        <w:tc>
          <w:tcPr>
            <w:tcW w:w="8546" w:type="dxa"/>
            <w:tcBorders>
              <w:bottom w:val="single" w:color="auto" w:sz="6" w:space="0"/>
            </w:tcBorders>
            <w:shd w:val="clear" w:color="auto" w:fill="auto"/>
          </w:tcPr>
          <w:p w14:paraId="654B00E2">
            <w:pPr>
              <w:spacing w:before="120" w:after="120"/>
            </w:pPr>
            <w:r>
              <w:rPr>
                <w:b/>
              </w:rPr>
              <w:t>Notifying Member:</w:t>
            </w:r>
            <w:r>
              <w:t xml:space="preserve"> </w:t>
            </w:r>
            <w:r>
              <w:rPr>
                <w:u w:val="single"/>
              </w:rPr>
              <w:t>UGANDA</w:t>
            </w:r>
          </w:p>
          <w:p w14:paraId="096DBF10">
            <w:pPr>
              <w:spacing w:after="120"/>
            </w:pPr>
            <w:r>
              <w:rPr>
                <w:b/>
              </w:rPr>
              <w:t>If applicable, name of local government involved (Article 3.2 and 7.2):</w:t>
            </w:r>
            <w:r>
              <w:t xml:space="preserve"> </w:t>
            </w:r>
          </w:p>
        </w:tc>
      </w:tr>
      <w:tr w14:paraId="507FF61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1BB731B6">
            <w:pPr>
              <w:spacing w:before="120" w:after="120"/>
              <w:jc w:val="left"/>
            </w:pPr>
            <w:r>
              <w:rPr>
                <w:b/>
              </w:rPr>
              <w:t>2.</w:t>
            </w:r>
          </w:p>
        </w:tc>
        <w:tc>
          <w:tcPr>
            <w:tcW w:w="8546" w:type="dxa"/>
            <w:tcBorders>
              <w:top w:val="single" w:color="auto" w:sz="6" w:space="0"/>
              <w:bottom w:val="single" w:color="auto" w:sz="6" w:space="0"/>
            </w:tcBorders>
            <w:shd w:val="clear" w:color="auto" w:fill="auto"/>
          </w:tcPr>
          <w:p w14:paraId="5DFADE92">
            <w:pPr>
              <w:spacing w:before="120" w:after="120"/>
            </w:pPr>
            <w:r>
              <w:rPr>
                <w:b/>
              </w:rPr>
              <w:t>Agency responsible:</w:t>
            </w:r>
            <w:r>
              <w:t xml:space="preserve"> </w:t>
            </w:r>
          </w:p>
          <w:p w14:paraId="70BC44C6">
            <w:r>
              <w:t>Uganda National Bureau of Standards</w:t>
            </w:r>
          </w:p>
          <w:p w14:paraId="01A7635C">
            <w:r>
              <w:t>Plot 2-12 ByPass Link, Bweyogerere Industrial and Business Park</w:t>
            </w:r>
          </w:p>
          <w:p w14:paraId="0D9B649E">
            <w:r>
              <w:t>P.O. Box 6329</w:t>
            </w:r>
          </w:p>
          <w:p w14:paraId="1D6FAA9D">
            <w:r>
              <w:t>Kampala, Uganda</w:t>
            </w:r>
          </w:p>
          <w:p w14:paraId="5FF10444">
            <w:r>
              <w:t>Tel: +(256) 4 1733 3250/1/2</w:t>
            </w:r>
          </w:p>
          <w:p w14:paraId="3C3D81E1">
            <w:r>
              <w:t>Fax: +(256) 4 1428 6123</w:t>
            </w:r>
          </w:p>
          <w:p w14:paraId="1EAC5661">
            <w:r>
              <w:t xml:space="preserve">E-mail: </w:t>
            </w:r>
            <w:r>
              <w:fldChar w:fldCharType="begin"/>
            </w:r>
            <w:r>
              <w:instrText xml:space="preserve"> HYPERLINK "mailto:info@unbs.go.ug" </w:instrText>
            </w:r>
            <w:r>
              <w:fldChar w:fldCharType="separate"/>
            </w:r>
            <w:r>
              <w:rPr>
                <w:color w:val="0000FF"/>
                <w:u w:val="single"/>
              </w:rPr>
              <w:t>info@unbs.go.ug</w:t>
            </w:r>
            <w:r>
              <w:rPr>
                <w:color w:val="0000FF"/>
                <w:u w:val="single"/>
              </w:rPr>
              <w:fldChar w:fldCharType="end"/>
            </w:r>
          </w:p>
          <w:p w14:paraId="0B45EB2B">
            <w:pPr>
              <w:spacing w:after="120"/>
              <w:rPr>
                <w:color w:val="0000FF"/>
                <w:u w:val="single"/>
              </w:rPr>
            </w:pPr>
            <w:r>
              <w:t xml:space="preserve">Website: </w:t>
            </w:r>
            <w:r>
              <w:fldChar w:fldCharType="begin"/>
            </w:r>
            <w:r>
              <w:instrText xml:space="preserve"> HYPERLINK "https://www.unbs.go.ug" \t "_blank" </w:instrText>
            </w:r>
            <w:r>
              <w:fldChar w:fldCharType="separate"/>
            </w:r>
            <w:r>
              <w:rPr>
                <w:color w:val="0000FF"/>
                <w:u w:val="single"/>
              </w:rPr>
              <w:t>https://www.unbs.go.ug</w:t>
            </w:r>
            <w:r>
              <w:rPr>
                <w:color w:val="0000FF"/>
                <w:u w:val="single"/>
              </w:rPr>
              <w:fldChar w:fldCharType="end"/>
            </w:r>
          </w:p>
          <w:p w14:paraId="17D7E52F">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07F95300">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80FDAA4">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7343B811">
            <w:pPr>
              <w:spacing w:before="120" w:after="120"/>
            </w:pPr>
            <w:r>
              <w:rPr>
                <w:b/>
              </w:rPr>
              <w:t>Notified under Article 2.9.2 [X], 2.10.1 [ ], 5.6.2 [</w:t>
            </w:r>
            <w:r>
              <w:rPr>
                <w:rFonts w:hint="eastAsia" w:eastAsia="宋体"/>
                <w:b/>
                <w:lang w:val="en-US" w:eastAsia="zh-CN"/>
              </w:rPr>
              <w:t xml:space="preserve"> </w:t>
            </w:r>
            <w:r>
              <w:rPr>
                <w:b/>
              </w:rPr>
              <w:t>], 5.7.1 [ ], 3.2 [ ], 7.2 [ ], other:</w:t>
            </w:r>
            <w:r>
              <w:t xml:space="preserve"> </w:t>
            </w:r>
          </w:p>
        </w:tc>
      </w:tr>
      <w:tr w14:paraId="0D88B459">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02F1CCFE">
            <w:pPr>
              <w:spacing w:before="120" w:after="120"/>
              <w:jc w:val="left"/>
            </w:pPr>
            <w:r>
              <w:rPr>
                <w:b/>
              </w:rPr>
              <w:t>4.</w:t>
            </w:r>
          </w:p>
        </w:tc>
        <w:tc>
          <w:tcPr>
            <w:tcW w:w="8546" w:type="dxa"/>
            <w:tcBorders>
              <w:top w:val="single" w:color="auto" w:sz="6" w:space="0"/>
              <w:bottom w:val="single" w:color="auto" w:sz="6" w:space="0"/>
            </w:tcBorders>
            <w:shd w:val="clear" w:color="auto" w:fill="auto"/>
          </w:tcPr>
          <w:p w14:paraId="1151E346">
            <w:pPr>
              <w:spacing w:before="120" w:after="120"/>
            </w:pPr>
            <w:r>
              <w:rPr>
                <w:b/>
              </w:rPr>
              <w:t>Products covered (HS or CCCN where applicable, otherwise national tariff heading. ICS numbers may be provided in addition, where applicable):</w:t>
            </w:r>
            <w:r>
              <w:t xml:space="preserve"> - Portland cement: (HS code(s): 25232); Cement, Gypsum, Lime, Mortar (ICS code(s): 91.100.10); Masonry cement</w:t>
            </w:r>
          </w:p>
        </w:tc>
      </w:tr>
      <w:tr w14:paraId="032AC13A">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07B827D">
            <w:pPr>
              <w:spacing w:before="120" w:after="120"/>
              <w:jc w:val="left"/>
            </w:pPr>
            <w:r>
              <w:rPr>
                <w:b/>
              </w:rPr>
              <w:t>5.</w:t>
            </w:r>
          </w:p>
        </w:tc>
        <w:tc>
          <w:tcPr>
            <w:tcW w:w="8546" w:type="dxa"/>
            <w:tcBorders>
              <w:top w:val="single" w:color="auto" w:sz="6" w:space="0"/>
              <w:bottom w:val="single" w:color="auto" w:sz="6" w:space="0"/>
            </w:tcBorders>
            <w:shd w:val="clear" w:color="auto" w:fill="auto"/>
          </w:tcPr>
          <w:p w14:paraId="4BF205F0">
            <w:pPr>
              <w:spacing w:before="120" w:after="120"/>
            </w:pPr>
            <w:r>
              <w:rPr>
                <w:b/>
              </w:rPr>
              <w:t>Title, number of pages and language(s) of the notified document:</w:t>
            </w:r>
            <w:r>
              <w:t xml:space="preserve"> DUS 366-1:2025, Masonry cement—Specification, Second Edition; (22 page(s), in English)</w:t>
            </w:r>
          </w:p>
        </w:tc>
      </w:tr>
      <w:tr w14:paraId="4436DAD2">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1A43909C">
            <w:pPr>
              <w:spacing w:before="120" w:after="120"/>
              <w:jc w:val="left"/>
              <w:rPr>
                <w:b/>
              </w:rPr>
            </w:pPr>
            <w:r>
              <w:rPr>
                <w:b/>
              </w:rPr>
              <w:t>6.</w:t>
            </w:r>
          </w:p>
        </w:tc>
        <w:tc>
          <w:tcPr>
            <w:tcW w:w="8546" w:type="dxa"/>
            <w:tcBorders>
              <w:top w:val="single" w:color="auto" w:sz="6" w:space="0"/>
              <w:bottom w:val="single" w:color="auto" w:sz="6" w:space="0"/>
            </w:tcBorders>
            <w:shd w:val="clear" w:color="auto" w:fill="auto"/>
            <w:vAlign w:val="top"/>
          </w:tcPr>
          <w:p w14:paraId="2D0F6F8A">
            <w:pPr>
              <w:spacing w:before="120" w:after="120"/>
              <w:rPr>
                <w:b/>
              </w:rPr>
            </w:pPr>
            <w:r>
              <w:rPr>
                <w:b/>
              </w:rPr>
              <w:t>Description of content:</w:t>
            </w:r>
            <w:r>
              <w:t xml:space="preserve"> This draft Uganda Standard gives the definition and composition of masonry cements as commonly used in the production of mortar for bricklaying and block laying and for rendering and plastering. It includes physical, mechanical, and chemical requirements and defines strength classes. Necessary durability requirements are also given.</w:t>
            </w:r>
          </w:p>
        </w:tc>
      </w:tr>
      <w:tr w14:paraId="26F46A0F">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07759464">
            <w:pPr>
              <w:spacing w:before="120" w:after="120"/>
              <w:jc w:val="left"/>
              <w:rPr>
                <w:b/>
              </w:rPr>
            </w:pPr>
            <w:r>
              <w:rPr>
                <w:b/>
              </w:rPr>
              <w:t>7.</w:t>
            </w:r>
          </w:p>
        </w:tc>
        <w:tc>
          <w:tcPr>
            <w:tcW w:w="8546" w:type="dxa"/>
            <w:tcBorders>
              <w:top w:val="single" w:color="auto" w:sz="6" w:space="0"/>
              <w:bottom w:val="single" w:color="auto" w:sz="6" w:space="0"/>
            </w:tcBorders>
            <w:shd w:val="clear" w:color="auto" w:fill="auto"/>
            <w:vAlign w:val="top"/>
          </w:tcPr>
          <w:p w14:paraId="44CA7B99">
            <w:pPr>
              <w:spacing w:before="120" w:after="120"/>
              <w:rPr>
                <w:b/>
              </w:rPr>
            </w:pPr>
            <w:r>
              <w:rPr>
                <w:b/>
              </w:rPr>
              <w:t>Objective and rationale, including the nature of urgent problems where applicable:</w:t>
            </w:r>
            <w:r>
              <w:t xml:space="preserve"> Consumer information, labelling; Prevention of deceptive practices and consumer protection; Protection of human health or safety; Quality requirements; Reducing trade barriers and facilitating trade; Cost saving and productivity enhancement</w:t>
            </w:r>
          </w:p>
        </w:tc>
      </w:tr>
      <w:tr w14:paraId="7F04C738">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09959440">
            <w:pPr>
              <w:spacing w:before="120" w:after="120"/>
              <w:jc w:val="left"/>
              <w:rPr>
                <w:b/>
              </w:rPr>
            </w:pPr>
            <w:r>
              <w:rPr>
                <w:b/>
              </w:rPr>
              <w:t>8.</w:t>
            </w:r>
          </w:p>
        </w:tc>
        <w:tc>
          <w:tcPr>
            <w:tcW w:w="8546" w:type="dxa"/>
            <w:tcBorders>
              <w:top w:val="single" w:color="auto" w:sz="6" w:space="0"/>
              <w:bottom w:val="single" w:color="auto" w:sz="6" w:space="0"/>
            </w:tcBorders>
            <w:shd w:val="clear" w:color="auto" w:fill="auto"/>
            <w:vAlign w:val="top"/>
          </w:tcPr>
          <w:p w14:paraId="14AB93FE">
            <w:pPr>
              <w:spacing w:before="120" w:after="120"/>
              <w:rPr>
                <w:bCs/>
              </w:rPr>
            </w:pPr>
            <w:r>
              <w:rPr>
                <w:b/>
              </w:rPr>
              <w:t>Relevant documents:</w:t>
            </w:r>
            <w:r>
              <w:t xml:space="preserve"> </w:t>
            </w:r>
          </w:p>
          <w:p w14:paraId="6D1C657E">
            <w:pPr>
              <w:numPr>
                <w:ilvl w:val="0"/>
                <w:numId w:val="7"/>
              </w:numPr>
              <w:spacing w:before="120" w:after="120"/>
            </w:pPr>
            <w:r>
              <w:t>US EAS 18-1, Cement Part 1: Composition, specification and conformity criteria for common cements</w:t>
            </w:r>
          </w:p>
          <w:p w14:paraId="51E67B13">
            <w:pPr>
              <w:numPr>
                <w:ilvl w:val="0"/>
                <w:numId w:val="7"/>
              </w:numPr>
              <w:spacing w:before="120" w:after="120"/>
            </w:pPr>
            <w:r>
              <w:t>US EAS 18-2, Cement Part 2: Conformity evaluation</w:t>
            </w:r>
          </w:p>
          <w:p w14:paraId="62F66688">
            <w:pPr>
              <w:numPr>
                <w:ilvl w:val="0"/>
                <w:numId w:val="7"/>
              </w:numPr>
              <w:spacing w:before="120" w:after="120"/>
            </w:pPr>
            <w:r>
              <w:t>US EAS 148-1, Methods of testing cement—Part 1: Determination of strength</w:t>
            </w:r>
          </w:p>
          <w:p w14:paraId="18C98A90">
            <w:pPr>
              <w:numPr>
                <w:ilvl w:val="0"/>
                <w:numId w:val="7"/>
              </w:numPr>
              <w:spacing w:before="120" w:after="120"/>
            </w:pPr>
            <w:r>
              <w:t>US EAS 148-2, Methods of testing cement—Part 2: Chemical analysis of cement</w:t>
            </w:r>
          </w:p>
          <w:p w14:paraId="0BB56338">
            <w:pPr>
              <w:numPr>
                <w:ilvl w:val="0"/>
                <w:numId w:val="7"/>
              </w:numPr>
              <w:spacing w:before="120" w:after="120"/>
            </w:pPr>
            <w:r>
              <w:t>US EAS 148-3, Methods of testing cement—Part 3: Determination of setting time and soundness</w:t>
            </w:r>
          </w:p>
          <w:p w14:paraId="2305A59C">
            <w:pPr>
              <w:numPr>
                <w:ilvl w:val="0"/>
                <w:numId w:val="7"/>
              </w:numPr>
              <w:spacing w:before="120" w:after="120"/>
            </w:pPr>
            <w:r>
              <w:t>US EAS 148-4, Methods of testing cement—Part 4: Determination of the chloride, carbon dioxide and alkali content of cement</w:t>
            </w:r>
          </w:p>
          <w:p w14:paraId="2DE21861">
            <w:pPr>
              <w:numPr>
                <w:ilvl w:val="0"/>
                <w:numId w:val="7"/>
              </w:numPr>
              <w:spacing w:before="120" w:after="120"/>
            </w:pPr>
            <w:r>
              <w:t>US EAS148-5, Methods of testing cement—Part 5: Pozzolanicity test for pozzolanic cements</w:t>
            </w:r>
          </w:p>
          <w:p w14:paraId="459DD257">
            <w:pPr>
              <w:numPr>
                <w:ilvl w:val="0"/>
                <w:numId w:val="7"/>
              </w:numPr>
              <w:spacing w:before="120" w:after="120"/>
            </w:pPr>
            <w:r>
              <w:t>US EAS148-6, Methods of testing cement—Part 6: Determination of fineness</w:t>
            </w:r>
          </w:p>
          <w:p w14:paraId="7B7F35D9">
            <w:pPr>
              <w:numPr>
                <w:ilvl w:val="0"/>
                <w:numId w:val="7"/>
              </w:numPr>
              <w:spacing w:before="120" w:after="120"/>
            </w:pPr>
            <w:r>
              <w:t>US EAS148-7, Methods of testing cement—Part 7: Methods of taking and preparing samples of cement</w:t>
            </w:r>
          </w:p>
          <w:p w14:paraId="047A404A">
            <w:pPr>
              <w:numPr>
                <w:ilvl w:val="0"/>
                <w:numId w:val="7"/>
              </w:numPr>
              <w:spacing w:before="120" w:after="120"/>
            </w:pPr>
            <w:r>
              <w:t>US 366-2, Masonry cement - Part 2: Test methods</w:t>
            </w:r>
          </w:p>
          <w:p w14:paraId="0B6BABC1">
            <w:pPr>
              <w:numPr>
                <w:ilvl w:val="0"/>
                <w:numId w:val="7"/>
              </w:numPr>
              <w:spacing w:before="120" w:after="120"/>
            </w:pPr>
            <w:r>
              <w:t>US EAS 73: , Building limes (quicklime and hydrated lime)—Specification</w:t>
            </w:r>
          </w:p>
          <w:p w14:paraId="7CE8B80B">
            <w:pPr>
              <w:numPr>
                <w:ilvl w:val="0"/>
                <w:numId w:val="7"/>
              </w:numPr>
              <w:spacing w:before="120" w:after="120"/>
              <w:ind w:left="720" w:leftChars="0" w:hanging="360" w:firstLineChars="0"/>
            </w:pPr>
            <w:r>
              <w:t>EN 12878, Pigments for the colouration of building materials based on cement and lime—Specification and methods of test</w:t>
            </w:r>
          </w:p>
        </w:tc>
      </w:tr>
      <w:tr w14:paraId="6F21487A">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vAlign w:val="top"/>
          </w:tcPr>
          <w:p w14:paraId="755BB098">
            <w:pPr>
              <w:spacing w:before="120" w:after="120"/>
              <w:jc w:val="left"/>
              <w:rPr>
                <w:b/>
              </w:rPr>
            </w:pPr>
            <w:r>
              <w:rPr>
                <w:b/>
              </w:rPr>
              <w:t>9.</w:t>
            </w:r>
          </w:p>
        </w:tc>
        <w:tc>
          <w:tcPr>
            <w:tcW w:w="8546" w:type="dxa"/>
            <w:tcBorders>
              <w:top w:val="single" w:color="auto" w:sz="6" w:space="0"/>
              <w:bottom w:val="single" w:color="auto" w:sz="6" w:space="0"/>
            </w:tcBorders>
            <w:shd w:val="clear" w:color="auto" w:fill="auto"/>
            <w:vAlign w:val="top"/>
          </w:tcPr>
          <w:p w14:paraId="1DBE5B02">
            <w:pPr>
              <w:spacing w:before="120" w:after="120"/>
            </w:pPr>
            <w:r>
              <w:rPr>
                <w:b/>
              </w:rPr>
              <w:t>Proposed date of adoption:</w:t>
            </w:r>
            <w:r>
              <w:t xml:space="preserve"> To be determined</w:t>
            </w:r>
          </w:p>
          <w:p w14:paraId="671963E8">
            <w:pPr>
              <w:spacing w:after="120"/>
            </w:pPr>
            <w:r>
              <w:rPr>
                <w:b/>
              </w:rPr>
              <w:t>Proposed date of entry into force:</w:t>
            </w:r>
            <w:r>
              <w:t xml:space="preserve"> To be determined</w:t>
            </w:r>
          </w:p>
        </w:tc>
      </w:tr>
      <w:tr w14:paraId="551A367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AE65373">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4BE29CC8">
            <w:pPr>
              <w:spacing w:before="120" w:after="120"/>
              <w:rPr>
                <w:bCs/>
              </w:rPr>
            </w:pPr>
            <w:r>
              <w:rPr>
                <w:b/>
              </w:rPr>
              <w:t>Final date for comments:</w:t>
            </w:r>
            <w:r>
              <w:t xml:space="preserve"> 22 September 2025</w:t>
            </w:r>
          </w:p>
          <w:p w14:paraId="4FA571C2">
            <w:pPr>
              <w:tabs>
                <w:tab w:val="left" w:pos="1418"/>
                <w:tab w:val="left" w:pos="2127"/>
                <w:tab w:val="left" w:pos="2835"/>
                <w:tab w:val="left" w:pos="3402"/>
              </w:tabs>
              <w:spacing w:before="120" w:after="120"/>
              <w:rPr>
                <w:b/>
                <w:bCs/>
              </w:rPr>
            </w:pPr>
            <w:r>
              <w:rPr>
                <w:b/>
                <w:bCs/>
              </w:rPr>
              <w:t>[X] 60 days from notification</w:t>
            </w:r>
            <w:r>
              <w:t xml:space="preserve"> </w:t>
            </w:r>
          </w:p>
          <w:p w14:paraId="1909F5CC">
            <w:pPr>
              <w:spacing w:before="120" w:after="120"/>
            </w:pPr>
            <w:r>
              <w:rPr>
                <w:b/>
                <w:bCs/>
              </w:rPr>
              <w:t>Contact details of agency or authority designated to handle comments regarding the notification:</w:t>
            </w:r>
            <w:r>
              <w:t xml:space="preserve"> </w:t>
            </w:r>
          </w:p>
          <w:p w14:paraId="2E27502D">
            <w:r>
              <w:t>Uganda National Bureau of Standards</w:t>
            </w:r>
          </w:p>
          <w:p w14:paraId="353BA99C">
            <w:r>
              <w:t>Plot 2-12 ByPass Link, Bweyogerere Industrial and Business Park</w:t>
            </w:r>
          </w:p>
          <w:p w14:paraId="4CE6A8A7">
            <w:r>
              <w:t>P.O. Box 6329</w:t>
            </w:r>
          </w:p>
          <w:p w14:paraId="47E0E67C">
            <w:r>
              <w:t>Kampala, Uganda</w:t>
            </w:r>
          </w:p>
          <w:p w14:paraId="19F6F865">
            <w:r>
              <w:t>Tel: +(256) 4 1733 3250/1/2</w:t>
            </w:r>
          </w:p>
          <w:p w14:paraId="32A3E9E6">
            <w:r>
              <w:t>Fax: +(256) 4 1428 6123</w:t>
            </w:r>
          </w:p>
          <w:p w14:paraId="5550E0AA">
            <w:r>
              <w:t xml:space="preserve">E-mail: </w:t>
            </w:r>
            <w:r>
              <w:fldChar w:fldCharType="begin"/>
            </w:r>
            <w:r>
              <w:instrText xml:space="preserve"> HYPERLINK "mailto:info@unbs.go.ug" </w:instrText>
            </w:r>
            <w:r>
              <w:fldChar w:fldCharType="separate"/>
            </w:r>
            <w:r>
              <w:rPr>
                <w:color w:val="0000FF"/>
                <w:u w:val="single"/>
              </w:rPr>
              <w:t>info@unbs.go.ug</w:t>
            </w:r>
            <w:r>
              <w:rPr>
                <w:color w:val="0000FF"/>
                <w:u w:val="single"/>
              </w:rPr>
              <w:fldChar w:fldCharType="end"/>
            </w:r>
            <w:bookmarkStart w:id="10" w:name="_GoBack"/>
            <w:bookmarkEnd w:id="10"/>
          </w:p>
          <w:p w14:paraId="2995B3F6">
            <w:pPr>
              <w:spacing w:before="120" w:after="120"/>
            </w:pPr>
            <w:r>
              <w:t xml:space="preserve">Website: </w:t>
            </w:r>
            <w:r>
              <w:fldChar w:fldCharType="begin"/>
            </w:r>
            <w:r>
              <w:instrText xml:space="preserve"> HYPERLINK "https://www.unbs.go.ug" \t "_blank" </w:instrText>
            </w:r>
            <w:r>
              <w:fldChar w:fldCharType="separate"/>
            </w:r>
            <w:r>
              <w:rPr>
                <w:color w:val="0000FF"/>
                <w:u w:val="single"/>
              </w:rPr>
              <w:t>https://www.unbs.go.ug</w:t>
            </w:r>
            <w:r>
              <w:rPr>
                <w:color w:val="0000FF"/>
                <w:u w:val="single"/>
              </w:rPr>
              <w:fldChar w:fldCharType="end"/>
            </w:r>
          </w:p>
        </w:tc>
      </w:tr>
      <w:tr w14:paraId="536D6CC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69A7D94E">
            <w:pPr>
              <w:keepNext/>
              <w:keepLines/>
              <w:spacing w:before="120" w:after="120"/>
              <w:jc w:val="left"/>
              <w:rPr>
                <w:b/>
              </w:rPr>
            </w:pPr>
            <w:r>
              <w:rPr>
                <w:b/>
              </w:rPr>
              <w:t>11.</w:t>
            </w:r>
          </w:p>
        </w:tc>
        <w:tc>
          <w:tcPr>
            <w:tcW w:w="8546" w:type="dxa"/>
            <w:tcBorders>
              <w:top w:val="single" w:color="auto" w:sz="6" w:space="0"/>
            </w:tcBorders>
            <w:shd w:val="clear" w:color="auto" w:fill="auto"/>
          </w:tcPr>
          <w:p w14:paraId="67486504">
            <w:pPr>
              <w:keepNext/>
              <w:keepLines/>
              <w:spacing w:before="120" w:after="120"/>
            </w:pPr>
            <w:r>
              <w:rPr>
                <w:b/>
              </w:rPr>
              <w:t>Texts available from: National enquiry point [X] or address, telephone and fax numbers and email and website addresses, if available, of other body:</w:t>
            </w:r>
            <w:r>
              <w:rPr>
                <w:bCs/>
              </w:rPr>
              <w:t xml:space="preserve"> </w:t>
            </w:r>
          </w:p>
          <w:p w14:paraId="063FAA1A">
            <w:pPr>
              <w:keepNext/>
              <w:keepLines/>
              <w:pBdr>
                <w:top w:val="none" w:color="auto" w:sz="0" w:space="4"/>
              </w:pBdr>
              <w:spacing w:after="120"/>
              <w:rPr>
                <w:bCs/>
              </w:rPr>
            </w:pPr>
            <w:r>
              <w:fldChar w:fldCharType="begin"/>
            </w:r>
            <w:r>
              <w:instrText xml:space="preserve"> HYPERLINK "https://members.wto.org/crnattachments/2025/TBT/UGA/25_04826_00_e.pdf" \t "_blank" </w:instrText>
            </w:r>
            <w:r>
              <w:fldChar w:fldCharType="separate"/>
            </w:r>
            <w:r>
              <w:rPr>
                <w:iCs/>
                <w:color w:val="0000FF"/>
                <w:u w:val="single"/>
              </w:rPr>
              <w:t>https://members.wto.org/crnattachments/2025/TBT/UGA/25_04826_00_e.pdf</w:t>
            </w:r>
            <w:r>
              <w:rPr>
                <w:iCs/>
                <w:color w:val="0000FF"/>
                <w:u w:val="single"/>
              </w:rPr>
              <w:fldChar w:fldCharType="end"/>
            </w:r>
          </w:p>
        </w:tc>
      </w:tr>
    </w:tbl>
    <w:p w14:paraId="7274E3E8"/>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onsolas">
    <w:panose1 w:val="020B0609020204030204"/>
    <w:charset w:val="00"/>
    <w:family w:val="modern"/>
    <w:pitch w:val="default"/>
    <w:sig w:usb0="E00006FF" w:usb1="0000FCFF" w:usb2="00000001" w:usb3="00000000" w:csb0="6000019F" w:csb1="DFD7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86C0A2">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33326D">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DB4119">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0811F7">
    <w:pPr>
      <w:pStyle w:val="58"/>
      <w:pBdr>
        <w:bottom w:val="single" w:color="auto" w:sz="4" w:space="1"/>
      </w:pBdr>
      <w:tabs>
        <w:tab w:val="clear" w:pos="4513"/>
        <w:tab w:val="clear" w:pos="9027"/>
      </w:tabs>
      <w:jc w:val="center"/>
    </w:pPr>
    <w:bookmarkStart w:id="9" w:name="spsSymbolHeader"/>
    <w:r>
      <w:t>G/TBT/N/UGA/2158</w:t>
    </w:r>
    <w:bookmarkEnd w:id="9"/>
  </w:p>
  <w:p w14:paraId="15A5E9C1">
    <w:pPr>
      <w:pStyle w:val="58"/>
      <w:pBdr>
        <w:bottom w:val="single" w:color="auto" w:sz="4" w:space="1"/>
      </w:pBdr>
      <w:tabs>
        <w:tab w:val="clear" w:pos="4513"/>
        <w:tab w:val="clear" w:pos="9027"/>
      </w:tabs>
      <w:jc w:val="center"/>
    </w:pPr>
  </w:p>
  <w:p w14:paraId="19054D5C">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7B757765">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83951F">
    <w:pPr>
      <w:pStyle w:val="58"/>
      <w:pBdr>
        <w:bottom w:val="single" w:color="auto" w:sz="4" w:space="1"/>
      </w:pBdr>
      <w:tabs>
        <w:tab w:val="clear" w:pos="4513"/>
        <w:tab w:val="clear" w:pos="9027"/>
      </w:tabs>
      <w:jc w:val="center"/>
    </w:pPr>
    <w:r>
      <w:t>tbtSymbol</w:t>
    </w:r>
  </w:p>
  <w:p w14:paraId="3DFCC065">
    <w:pPr>
      <w:pStyle w:val="58"/>
      <w:pBdr>
        <w:bottom w:val="single" w:color="auto" w:sz="4" w:space="1"/>
      </w:pBdr>
      <w:tabs>
        <w:tab w:val="clear" w:pos="4513"/>
        <w:tab w:val="clear" w:pos="9027"/>
      </w:tabs>
      <w:jc w:val="center"/>
    </w:pPr>
  </w:p>
  <w:p w14:paraId="246DBF61">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2153BA2A">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62C56E56">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5D751D88">
          <w:pPr>
            <w:rPr>
              <w:lang w:eastAsia="en-GB"/>
            </w:rPr>
          </w:pPr>
          <w:bookmarkStart w:id="0" w:name="bmkRestricted" w:colFirst="1" w:colLast="1"/>
        </w:p>
      </w:tc>
      <w:tc>
        <w:tcPr>
          <w:tcW w:w="5448" w:type="dxa"/>
          <w:gridSpan w:val="2"/>
          <w:shd w:val="clear" w:color="auto" w:fill="FFFFFF"/>
          <w:tcMar>
            <w:left w:w="108" w:type="dxa"/>
            <w:right w:w="108" w:type="dxa"/>
          </w:tcMar>
          <w:vAlign w:val="center"/>
        </w:tcPr>
        <w:p w14:paraId="70FADB8C">
          <w:pPr>
            <w:jc w:val="right"/>
            <w:rPr>
              <w:b/>
              <w:color w:val="FF0000"/>
              <w:szCs w:val="16"/>
            </w:rPr>
          </w:pPr>
        </w:p>
      </w:tc>
    </w:tr>
    <w:bookmarkEnd w:id="0"/>
    <w:tr w14:paraId="4D0FECC7">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4B26C969">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2A0997C3">
          <w:pPr>
            <w:jc w:val="right"/>
            <w:rPr>
              <w:b/>
              <w:szCs w:val="16"/>
            </w:rPr>
          </w:pPr>
        </w:p>
      </w:tc>
    </w:tr>
    <w:tr w14:paraId="30030DA4">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76FB7F6F">
          <w:pPr>
            <w:jc w:val="left"/>
            <w:rPr>
              <w:lang w:eastAsia="en-GB"/>
            </w:rPr>
          </w:pPr>
        </w:p>
      </w:tc>
      <w:tc>
        <w:tcPr>
          <w:tcW w:w="5448" w:type="dxa"/>
          <w:gridSpan w:val="2"/>
          <w:shd w:val="clear" w:color="auto" w:fill="FFFFFF"/>
          <w:tcMar>
            <w:left w:w="108" w:type="dxa"/>
            <w:right w:w="108" w:type="dxa"/>
          </w:tcMar>
        </w:tcPr>
        <w:p w14:paraId="2954A9CE">
          <w:pPr>
            <w:jc w:val="right"/>
            <w:rPr>
              <w:rFonts w:hint="default" w:eastAsia="宋体"/>
              <w:b/>
              <w:szCs w:val="16"/>
              <w:lang w:val="en-US" w:eastAsia="zh-CN"/>
            </w:rPr>
          </w:pPr>
          <w:bookmarkStart w:id="1" w:name="bmkSymbols"/>
          <w:r>
            <w:rPr>
              <w:b/>
              <w:szCs w:val="16"/>
            </w:rPr>
            <w:t>G/TBT/N/UGA/21</w:t>
          </w:r>
          <w:bookmarkEnd w:id="1"/>
          <w:r>
            <w:rPr>
              <w:rFonts w:hint="eastAsia" w:eastAsia="宋体"/>
              <w:b/>
              <w:szCs w:val="16"/>
              <w:lang w:val="en-US" w:eastAsia="zh-CN"/>
            </w:rPr>
            <w:t>92</w:t>
          </w:r>
        </w:p>
      </w:tc>
    </w:tr>
    <w:tr w14:paraId="0537EC98">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002F2333"/>
      </w:tc>
      <w:tc>
        <w:tcPr>
          <w:tcW w:w="5448" w:type="dxa"/>
          <w:gridSpan w:val="2"/>
          <w:shd w:val="clear" w:color="auto" w:fill="FFFFFF"/>
          <w:tcMar>
            <w:left w:w="108" w:type="dxa"/>
            <w:right w:w="108" w:type="dxa"/>
          </w:tcMar>
          <w:vAlign w:val="center"/>
        </w:tcPr>
        <w:p w14:paraId="2B660E1B">
          <w:pPr>
            <w:jc w:val="right"/>
            <w:rPr>
              <w:szCs w:val="16"/>
            </w:rPr>
          </w:pPr>
          <w:bookmarkStart w:id="2" w:name="spsDateDistribution"/>
          <w:bookmarkStart w:id="3" w:name="bmkDate"/>
          <w:r>
            <w:rPr>
              <w:szCs w:val="16"/>
            </w:rPr>
            <w:t>24 July 2025</w:t>
          </w:r>
          <w:bookmarkEnd w:id="2"/>
          <w:bookmarkEnd w:id="3"/>
        </w:p>
      </w:tc>
    </w:tr>
    <w:tr w14:paraId="7C954817">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4D7C295B">
          <w:pPr>
            <w:jc w:val="left"/>
            <w:rPr>
              <w:b/>
            </w:rPr>
          </w:pPr>
          <w:bookmarkStart w:id="4" w:name="bmkSerial"/>
          <w:r>
            <w:rPr>
              <w:b w:val="0"/>
              <w:color w:val="FF0000"/>
            </w:rPr>
            <w:t>(25-</w:t>
          </w:r>
          <w:r>
            <w:rPr>
              <w:rFonts w:hint="eastAsia" w:eastAsia="宋体"/>
              <w:b w:val="0"/>
              <w:color w:val="FF0000"/>
              <w:lang w:val="en-US" w:eastAsia="zh-CN"/>
            </w:rPr>
            <w:t>4769</w:t>
          </w:r>
          <w:r>
            <w:rPr>
              <w:b w:val="0"/>
              <w:color w:val="FF0000"/>
            </w:rPr>
            <w:t>)</w:t>
          </w:r>
          <w:bookmarkEnd w:id="4"/>
        </w:p>
      </w:tc>
      <w:tc>
        <w:tcPr>
          <w:tcW w:w="3325" w:type="dxa"/>
          <w:tcBorders>
            <w:bottom w:val="single" w:color="auto" w:sz="4" w:space="0"/>
          </w:tcBorders>
          <w:tcMar>
            <w:top w:w="0" w:type="dxa"/>
            <w:left w:w="108" w:type="dxa"/>
            <w:bottom w:w="57" w:type="dxa"/>
            <w:right w:w="108" w:type="dxa"/>
          </w:tcMar>
          <w:vAlign w:val="bottom"/>
        </w:tcPr>
        <w:p w14:paraId="2F4B735B">
          <w:pPr>
            <w:jc w:val="right"/>
            <w:rPr>
              <w:szCs w:val="16"/>
            </w:rPr>
          </w:pPr>
          <w:bookmarkStart w:id="5"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2</w:t>
          </w:r>
          <w:r>
            <w:rPr>
              <w:bCs/>
              <w:szCs w:val="16"/>
            </w:rPr>
            <w:fldChar w:fldCharType="end"/>
          </w:r>
          <w:bookmarkEnd w:id="5"/>
        </w:p>
      </w:tc>
    </w:tr>
    <w:tr w14:paraId="596C8A30">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05FB98FD">
          <w:pPr>
            <w:jc w:val="left"/>
            <w:rPr>
              <w:sz w:val="14"/>
              <w:szCs w:val="16"/>
            </w:rPr>
          </w:pPr>
          <w:bookmarkStart w:id="6" w:name="bmkCommittee"/>
          <w:r>
            <w:rPr>
              <w:b/>
            </w:rPr>
            <w:t>Committee on Technical Barriers to Trade</w:t>
          </w:r>
          <w:bookmarkEnd w:id="6"/>
        </w:p>
      </w:tc>
      <w:tc>
        <w:tcPr>
          <w:tcW w:w="3325" w:type="dxa"/>
          <w:tcBorders>
            <w:top w:val="single" w:color="auto" w:sz="4" w:space="0"/>
          </w:tcBorders>
          <w:tcMar>
            <w:top w:w="113" w:type="dxa"/>
            <w:left w:w="108" w:type="dxa"/>
            <w:bottom w:w="57" w:type="dxa"/>
            <w:right w:w="108" w:type="dxa"/>
          </w:tcMar>
          <w:vAlign w:val="center"/>
        </w:tcPr>
        <w:p w14:paraId="2028D47D">
          <w:pPr>
            <w:jc w:val="right"/>
            <w:rPr>
              <w:bCs/>
              <w:szCs w:val="18"/>
            </w:rPr>
          </w:pPr>
          <w:bookmarkStart w:id="7" w:name="bmkLanguage"/>
          <w:r>
            <w:rPr>
              <w:bCs/>
              <w:szCs w:val="18"/>
            </w:rPr>
            <w:t xml:space="preserve">Original: </w:t>
          </w:r>
          <w:bookmarkStart w:id="8" w:name="spsOriginalLanguage"/>
          <w:r>
            <w:rPr>
              <w:bCs/>
              <w:szCs w:val="18"/>
            </w:rPr>
            <w:t>English</w:t>
          </w:r>
          <w:bookmarkEnd w:id="7"/>
          <w:bookmarkEnd w:id="8"/>
        </w:p>
      </w:tc>
    </w:tr>
  </w:tbl>
  <w:p w14:paraId="33FE37EB">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6">
    <w:nsid w:val="63D526BB"/>
    <w:multiLevelType w:val="multilevel"/>
    <w:tmpl w:val="63D526BB"/>
    <w:lvl w:ilvl="0" w:tentative="0">
      <w:start w:val="1"/>
      <w:numFmt w:val="decimal"/>
      <w:lvlText w:val="%1."/>
      <w:lvlJc w:val="left"/>
      <w:pPr>
        <w:ind w:left="720" w:hanging="360"/>
      </w:p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num w:numId="1">
    <w:abstractNumId w:val="2"/>
  </w:num>
  <w:num w:numId="2">
    <w:abstractNumId w:val="3"/>
  </w:num>
  <w:num w:numId="3">
    <w:abstractNumId w:val="0"/>
  </w:num>
  <w:num w:numId="4">
    <w:abstractNumId w:val="4"/>
  </w:num>
  <w:num w:numId="5">
    <w:abstractNumId w:val="1"/>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7E9"/>
    <w:rsid w:val="001206E6"/>
    <w:rsid w:val="00125032"/>
    <w:rsid w:val="0013337F"/>
    <w:rsid w:val="00154529"/>
    <w:rsid w:val="00155128"/>
    <w:rsid w:val="001621F4"/>
    <w:rsid w:val="00182B84"/>
    <w:rsid w:val="0018646B"/>
    <w:rsid w:val="00186B9C"/>
    <w:rsid w:val="00191D12"/>
    <w:rsid w:val="001A464A"/>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A23F8"/>
    <w:rsid w:val="004A5CB5"/>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5DF8"/>
    <w:rsid w:val="00726860"/>
    <w:rsid w:val="00730370"/>
    <w:rsid w:val="00736D06"/>
    <w:rsid w:val="00745146"/>
    <w:rsid w:val="00756BA6"/>
    <w:rsid w:val="007577E3"/>
    <w:rsid w:val="00760DB3"/>
    <w:rsid w:val="007624E8"/>
    <w:rsid w:val="00796783"/>
    <w:rsid w:val="007B4DE8"/>
    <w:rsid w:val="007D20BB"/>
    <w:rsid w:val="007E1308"/>
    <w:rsid w:val="007E1937"/>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4DF3"/>
    <w:rsid w:val="0098681A"/>
    <w:rsid w:val="00986D7B"/>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0A6B"/>
    <w:rsid w:val="00E46FD5"/>
    <w:rsid w:val="00E544BB"/>
    <w:rsid w:val="00E56545"/>
    <w:rsid w:val="00E63AC7"/>
    <w:rsid w:val="00E67CF3"/>
    <w:rsid w:val="00E82AEC"/>
    <w:rsid w:val="00E84D9E"/>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053947F2"/>
    <w:rsid w:val="263029F5"/>
    <w:rsid w:val="4E6320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99" w:name="Normal Indent"/>
    <w:lsdException w:qFormat="1" w:unhideWhenUsed="0" w:uiPriority="5" w:semiHidden="0" w:name="footnote text"/>
    <w:lsdException w:qFormat="1" w:uiPriority="99" w:semiHidden="0" w:name="annotation text"/>
    <w:lsdException w:qFormat="1"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qFormat="1" w:unhideWhenUsed="0" w:uiPriority="5" w:semiHidden="0" w:name="footnote reference"/>
    <w:lsdException w:qFormat="1" w:uiPriority="99" w:name="annotation reference"/>
    <w:lsdException w:qFormat="1" w:uiPriority="99" w:name="line number"/>
    <w:lsdException w:qFormat="1" w:uiPriority="99" w:name="page number"/>
    <w:lsdException w:qFormat="1" w:unhideWhenUsed="0" w:uiPriority="49" w:semiHidden="0" w:name="endnote reference"/>
    <w:lsdException w:qFormat="1" w:unhideWhenUsed="0" w:uiPriority="49" w:semiHidden="0" w:name="endnote text"/>
    <w:lsdException w:qFormat="1" w:unhideWhenUsed="0" w:uiPriority="39" w:semiHidden="0" w:name="table of authorities"/>
    <w:lsdException w:qFormat="1" w:uiPriority="99" w:name="macro"/>
    <w:lsdException w:qFormat="1" w:uiPriority="39" w:semiHidden="0" w:name="toa heading"/>
    <w:lsdException w:qFormat="1" w:uiPriority="99" w:name="List"/>
    <w:lsdException w:qFormat="1" w:unhideWhenUsed="0" w:uiPriority="1" w:semiHidden="0" w:name="List Bullet"/>
    <w:lsdException w:qFormat="1" w:uiPriority="49" w:name="List Number"/>
    <w:lsdException w:qFormat="1" w:uiPriority="99" w:name="List 2"/>
    <w:lsdException w:qFormat="1" w:uiPriority="99" w:name="List 3"/>
    <w:lsdException w:qFormat="1" w:uiPriority="99" w:name="List 4"/>
    <w:lsdException w:qFormat="1" w:uiPriority="99" w:name="List 5"/>
    <w:lsdException w:qFormat="1" w:unhideWhenUsed="0" w:uiPriority="1" w:semiHidden="0" w:name="List Bullet 2"/>
    <w:lsdException w:qFormat="1"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qFormat="1"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qFormat="1" w:uiPriority="99" w:name="List Continue 3"/>
    <w:lsdException w:qFormat="1" w:uiPriority="99" w:name="List Continue 4"/>
    <w:lsdException w:qFormat="1" w:uiPriority="99" w:name="List Continue 5"/>
    <w:lsdException w:qFormat="1" w:uiPriority="99" w:name="Message Header"/>
    <w:lsdException w:qFormat="1" w:unhideWhenUsed="0" w:uiPriority="6" w:semiHidden="0" w:name="Subtitle"/>
    <w:lsdException w:qFormat="1" w:uiPriority="99" w:name="Salutation"/>
    <w:lsdException w:qFormat="1" w:uiPriority="99" w:name="Date"/>
    <w:lsdException w:qFormat="1"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qFormat="1" w:uiPriority="99" w:name="Body Text Indent 3"/>
    <w:lsdException w:qFormat="1" w:uiPriority="99" w:name="Block Text"/>
    <w:lsdException w:qFormat="1"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qFormat="1" w:uiPriority="99" w:name="Normal (Web)"/>
    <w:lsdException w:qFormat="1" w:uiPriority="99" w:name="HTML Acronym"/>
    <w:lsdException w:qFormat="1"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semiHidden="0" w:name="annotation subject"/>
    <w:lsdException w:qFormat="1" w:uiPriority="99" w:name="Table Simple 1"/>
    <w:lsdException w:qFormat="1" w:uiPriority="99" w:name="Table Simple 2"/>
    <w:lsdException w:qFormat="1" w:uiPriority="99" w:name="Table Simple 3"/>
    <w:lsdException w:qFormat="1" w:uiPriority="99" w:name="Table Classic 1"/>
    <w:lsdException w:qFormat="1" w:uiPriority="99" w:name="Table Classic 2"/>
    <w:lsdException w:qFormat="1" w:uiPriority="99" w:name="Table Classic 3"/>
    <w:lsdException w:qFormat="1" w:uiPriority="99" w:name="Table Classic 4"/>
    <w:lsdException w:qFormat="1" w:uiPriority="99" w:name="Table Colorful 1"/>
    <w:lsdException w:qFormat="1" w:uiPriority="99" w:name="Table Colorful 2"/>
    <w:lsdException w:qFormat="1" w:uiPriority="99" w:name="Table Colorful 3"/>
    <w:lsdException w:qFormat="1" w:uiPriority="99" w:name="Table Columns 1"/>
    <w:lsdException w:qFormat="1" w:uiPriority="99" w:name="Table Columns 2"/>
    <w:lsdException w:qFormat="1" w:uiPriority="99" w:name="Table Columns 3"/>
    <w:lsdException w:qFormat="1" w:uiPriority="99" w:name="Table Columns 4"/>
    <w:lsdException w:qFormat="1" w:uiPriority="99" w:name="Table Columns 5"/>
    <w:lsdException w:qFormat="1" w:uiPriority="99" w:name="Table Grid 1"/>
    <w:lsdException w:qFormat="1" w:uiPriority="99" w:name="Table Grid 2"/>
    <w:lsdException w:qFormat="1" w:uiPriority="99" w:name="Table Grid 3"/>
    <w:lsdException w:qFormat="1" w:uiPriority="99" w:name="Table Grid 4"/>
    <w:lsdException w:qFormat="1" w:uiPriority="99" w:name="Table Grid 5"/>
    <w:lsdException w:qFormat="1" w:uiPriority="99" w:name="Table Grid 6"/>
    <w:lsdException w:qFormat="1" w:uiPriority="99" w:name="Table Grid 7"/>
    <w:lsdException w:qFormat="1" w:uiPriority="99" w:name="Table Grid 8"/>
    <w:lsdException w:qFormat="1" w:uiPriority="99" w:name="Table List 1"/>
    <w:lsdException w:qFormat="1" w:uiPriority="99" w:name="Table List 2"/>
    <w:lsdException w:qFormat="1" w:uiPriority="99" w:name="Table List 3"/>
    <w:lsdException w:qFormat="1" w:uiPriority="99" w:name="Table List 4"/>
    <w:lsdException w:qFormat="1" w:uiPriority="99" w:name="Table List 5"/>
    <w:lsdException w:qFormat="1" w:uiPriority="99" w:name="Table List 6"/>
    <w:lsdException w:qFormat="1" w:uiPriority="99" w:name="Table List 7"/>
    <w:lsdException w:qFormat="1" w:uiPriority="99" w:name="Table List 8"/>
    <w:lsdException w:qFormat="1" w:uiPriority="99" w:name="Table 3D effects 1"/>
    <w:lsdException w:qFormat="1" w:uiPriority="99" w:name="Table 3D effects 2"/>
    <w:lsdException w:qFormat="1" w:uiPriority="99" w:name="Table 3D effects 3"/>
    <w:lsdException w:qFormat="1" w:uiPriority="99" w:name="Table Contemporary"/>
    <w:lsdException w:qFormat="1" w:uiPriority="99" w:name="Table Elegant"/>
    <w:lsdException w:qFormat="1" w:uiPriority="99" w:name="Table Professional"/>
    <w:lsdException w:qFormat="1" w:uiPriority="99" w:name="Table Subtle 1"/>
    <w:lsdException w:qFormat="1" w:uiPriority="99" w:name="Table Subtle 2"/>
    <w:lsdException w:qFormat="1" w:uiPriority="99" w:name="Table Web 1"/>
    <w:lsdException w:qFormat="1" w:uiPriority="99" w:name="Table Web 2"/>
    <w:lsdException w:qFormat="1" w:uiPriority="99" w:name="Table Web 3"/>
    <w:lsdException w:qFormat="1" w:uiPriority="99" w:name="Balloon Text"/>
    <w:lsdException w:qFormat="1" w:unhideWhenUsed="0" w:uiPriority="59" w:semiHidden="0" w:name="Table Grid"/>
    <w:lsdException w:qFormat="1" w:uiPriority="99" w:name="Table Theme"/>
    <w:lsdException w:qFormat="1" w:unhideWhenUsed="0" w:uiPriority="99" w:name="Placeholder Text"/>
    <w:lsdException w:qFormat="1" w:unhideWhenUsed="0" w:uiPriority="1"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qFormat/>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qFormat/>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qFormat/>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qFormat/>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qFormat/>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qFormat/>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qFormat/>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qFormat/>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qFormat/>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qFormat/>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qFormat/>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qFormat/>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qFormat/>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qFormat/>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qFormat/>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qFormat/>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qFormat/>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qFormat/>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qFormat/>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qFormat/>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qFormat/>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qFormat/>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qFormat/>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qFormat/>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qFormat/>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qFormat/>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qFormat/>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qFormat/>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qFormat/>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qFormat/>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qFormat/>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qFormat/>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qFormat/>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qFormat/>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qFormat/>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qFormat/>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qFormat/>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qFormat/>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qFormat/>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qFormat/>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qFormat/>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qFormat/>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qFormat/>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qFormat/>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qFormat/>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qFormat/>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qFormat/>
    <w:uiPriority w:val="49"/>
    <w:rPr>
      <w:vertAlign w:val="superscript"/>
      <w:lang w:val="en-GB"/>
    </w:rPr>
  </w:style>
  <w:style w:type="character" w:styleId="234">
    <w:name w:val="page number"/>
    <w:semiHidden/>
    <w:unhideWhenUsed/>
    <w:qFormat/>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qFormat/>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qFormat/>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qFormat/>
    <w:uiPriority w:val="99"/>
    <w:rPr>
      <w:i/>
      <w:iCs/>
      <w:lang w:val="en-GB"/>
    </w:rPr>
  </w:style>
  <w:style w:type="character" w:styleId="242">
    <w:name w:val="Hyperlink"/>
    <w:unhideWhenUsed/>
    <w:qFormat/>
    <w:uiPriority w:val="9"/>
    <w:rPr>
      <w:color w:val="0000FF"/>
      <w:u w:val="single"/>
      <w:lang w:val="en-GB"/>
    </w:rPr>
  </w:style>
  <w:style w:type="character" w:styleId="243">
    <w:name w:val="HTML Code"/>
    <w:semiHidden/>
    <w:unhideWhenUsed/>
    <w:qFormat/>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qFormat/>
    <w:uiPriority w:val="99"/>
    <w:rPr>
      <w:i/>
      <w:iCs/>
      <w:lang w:val="en-GB"/>
    </w:rPr>
  </w:style>
  <w:style w:type="character" w:styleId="246">
    <w:name w:val="footnote reference"/>
    <w:qFormat/>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Heading 1 Char"/>
    <w:link w:val="3"/>
    <w:qFormat/>
    <w:uiPriority w:val="2"/>
    <w:rPr>
      <w:rFonts w:ascii="Verdana" w:hAnsi="Verdana" w:eastAsia="Times New Roman"/>
      <w:b/>
      <w:bCs/>
      <w:caps/>
      <w:color w:val="006283"/>
      <w:sz w:val="18"/>
      <w:szCs w:val="28"/>
      <w:lang w:val="en-GB"/>
    </w:rPr>
  </w:style>
  <w:style w:type="character" w:customStyle="1" w:styleId="250">
    <w:name w:val="Heading 2 Char"/>
    <w:link w:val="4"/>
    <w:qFormat/>
    <w:uiPriority w:val="2"/>
    <w:rPr>
      <w:rFonts w:ascii="Verdana" w:hAnsi="Verdana" w:eastAsia="Times New Roman"/>
      <w:b/>
      <w:bCs/>
      <w:color w:val="006283"/>
      <w:sz w:val="18"/>
      <w:szCs w:val="26"/>
      <w:lang w:val="en-GB"/>
    </w:rPr>
  </w:style>
  <w:style w:type="character" w:customStyle="1" w:styleId="251">
    <w:name w:val="Heading 3 Char"/>
    <w:link w:val="5"/>
    <w:qFormat/>
    <w:uiPriority w:val="2"/>
    <w:rPr>
      <w:rFonts w:ascii="Verdana" w:hAnsi="Verdana" w:eastAsia="Times New Roman"/>
      <w:b/>
      <w:bCs/>
      <w:color w:val="006283"/>
      <w:sz w:val="18"/>
      <w:szCs w:val="22"/>
      <w:lang w:val="en-GB"/>
    </w:rPr>
  </w:style>
  <w:style w:type="character" w:customStyle="1" w:styleId="252">
    <w:name w:val="Heading 4 Char"/>
    <w:link w:val="6"/>
    <w:qFormat/>
    <w:uiPriority w:val="2"/>
    <w:rPr>
      <w:rFonts w:ascii="Verdana" w:hAnsi="Verdana" w:eastAsia="Times New Roman"/>
      <w:b/>
      <w:bCs/>
      <w:iCs/>
      <w:color w:val="006283"/>
      <w:sz w:val="18"/>
      <w:szCs w:val="22"/>
      <w:lang w:val="en-GB"/>
    </w:rPr>
  </w:style>
  <w:style w:type="character" w:customStyle="1" w:styleId="253">
    <w:name w:val="Heading 5 Char"/>
    <w:link w:val="7"/>
    <w:qFormat/>
    <w:uiPriority w:val="2"/>
    <w:rPr>
      <w:rFonts w:ascii="Verdana" w:hAnsi="Verdana" w:eastAsia="Times New Roman"/>
      <w:b/>
      <w:color w:val="006283"/>
      <w:sz w:val="18"/>
      <w:szCs w:val="22"/>
      <w:lang w:val="en-GB"/>
    </w:rPr>
  </w:style>
  <w:style w:type="character" w:customStyle="1" w:styleId="254">
    <w:name w:val="Heading 6 Char"/>
    <w:link w:val="8"/>
    <w:qFormat/>
    <w:uiPriority w:val="2"/>
    <w:rPr>
      <w:rFonts w:ascii="Verdana" w:hAnsi="Verdana" w:eastAsia="Times New Roman"/>
      <w:b/>
      <w:iCs/>
      <w:color w:val="006283"/>
      <w:sz w:val="18"/>
      <w:szCs w:val="22"/>
      <w:lang w:val="en-GB"/>
    </w:rPr>
  </w:style>
  <w:style w:type="character" w:customStyle="1" w:styleId="255">
    <w:name w:val="Heading 7 Char"/>
    <w:link w:val="10"/>
    <w:qFormat/>
    <w:uiPriority w:val="2"/>
    <w:rPr>
      <w:rFonts w:ascii="Verdana" w:hAnsi="Verdana" w:eastAsia="Times New Roman"/>
      <w:b/>
      <w:iCs/>
      <w:color w:val="006283"/>
      <w:sz w:val="18"/>
      <w:szCs w:val="22"/>
      <w:lang w:val="en-GB"/>
    </w:rPr>
  </w:style>
  <w:style w:type="character" w:customStyle="1" w:styleId="256">
    <w:name w:val="Heading 8 Char"/>
    <w:link w:val="11"/>
    <w:qFormat/>
    <w:uiPriority w:val="2"/>
    <w:rPr>
      <w:rFonts w:ascii="Verdana" w:hAnsi="Verdana" w:eastAsia="Times New Roman"/>
      <w:b/>
      <w:i/>
      <w:color w:val="006283"/>
      <w:sz w:val="18"/>
      <w:lang w:val="en-GB"/>
    </w:rPr>
  </w:style>
  <w:style w:type="character" w:customStyle="1" w:styleId="257">
    <w:name w:val="Heading 9 Char"/>
    <w:link w:val="12"/>
    <w:qFormat/>
    <w:uiPriority w:val="2"/>
    <w:rPr>
      <w:rFonts w:ascii="Verdana" w:hAnsi="Verdana" w:eastAsia="Times New Roman"/>
      <w:b/>
      <w:iCs/>
      <w:color w:val="006283"/>
      <w:sz w:val="18"/>
      <w:u w:val="single"/>
      <w:lang w:val="en-GB"/>
    </w:rPr>
  </w:style>
  <w:style w:type="character" w:customStyle="1" w:styleId="258">
    <w:name w:val="Title Char"/>
    <w:link w:val="84"/>
    <w:qFormat/>
    <w:uiPriority w:val="5"/>
    <w:rPr>
      <w:rFonts w:ascii="Verdana" w:hAnsi="Verdana" w:eastAsia="Times New Roman"/>
      <w:b/>
      <w:caps/>
      <w:color w:val="006283"/>
      <w:kern w:val="28"/>
      <w:sz w:val="18"/>
      <w:szCs w:val="52"/>
      <w:lang w:val="en-GB"/>
    </w:rPr>
  </w:style>
  <w:style w:type="character" w:customStyle="1" w:styleId="259">
    <w:name w:val="Body Text Char"/>
    <w:link w:val="9"/>
    <w:qFormat/>
    <w:uiPriority w:val="1"/>
    <w:rPr>
      <w:rFonts w:ascii="Verdana" w:hAnsi="Verdana"/>
      <w:sz w:val="18"/>
      <w:szCs w:val="22"/>
      <w:lang w:val="en-GB"/>
    </w:rPr>
  </w:style>
  <w:style w:type="character" w:customStyle="1" w:styleId="260">
    <w:name w:val="Body Text 2 Char"/>
    <w:link w:val="76"/>
    <w:qFormat/>
    <w:uiPriority w:val="1"/>
    <w:rPr>
      <w:rFonts w:ascii="Verdana" w:hAnsi="Verdana"/>
      <w:sz w:val="18"/>
      <w:szCs w:val="22"/>
      <w:lang w:val="en-GB"/>
    </w:rPr>
  </w:style>
  <w:style w:type="character" w:customStyle="1" w:styleId="261">
    <w:name w:val="Body Text 3 Ch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Footnote Text Char"/>
    <w:link w:val="53"/>
    <w:qFormat/>
    <w:uiPriority w:val="5"/>
    <w:rPr>
      <w:rFonts w:ascii="Verdana" w:hAnsi="Verdana"/>
      <w:sz w:val="16"/>
      <w:szCs w:val="18"/>
      <w:lang w:val="en-GB" w:eastAsia="en-GB"/>
    </w:rPr>
  </w:style>
  <w:style w:type="character" w:customStyle="1" w:styleId="265">
    <w:name w:val="Endnote Text Char"/>
    <w:link w:val="52"/>
    <w:qFormat/>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Footer Char"/>
    <w:link w:val="56"/>
    <w:qFormat/>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Header Ch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qFormat/>
    <w:uiPriority w:val="99"/>
    <w:rPr>
      <w:rFonts w:ascii="Tahoma" w:hAnsi="Tahoma" w:cs="Tahoma"/>
      <w:sz w:val="16"/>
      <w:szCs w:val="16"/>
      <w:lang w:val="en-GB"/>
    </w:rPr>
  </w:style>
  <w:style w:type="character" w:customStyle="1" w:styleId="279">
    <w:name w:val="Subtitle Char"/>
    <w:link w:val="65"/>
    <w:qFormat/>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Body Text First Indent Char"/>
    <w:link w:val="86"/>
    <w:semiHidden/>
    <w:qFormat/>
    <w:uiPriority w:val="99"/>
    <w:rPr>
      <w:rFonts w:ascii="Verdana" w:hAnsi="Verdana"/>
      <w:sz w:val="18"/>
      <w:szCs w:val="22"/>
      <w:lang w:val="en-GB"/>
    </w:rPr>
  </w:style>
  <w:style w:type="character" w:customStyle="1" w:styleId="290">
    <w:name w:val="Body Text Indent Char"/>
    <w:link w:val="35"/>
    <w:semiHidden/>
    <w:qFormat/>
    <w:uiPriority w:val="99"/>
    <w:rPr>
      <w:rFonts w:ascii="Verdana" w:hAnsi="Verdana"/>
      <w:sz w:val="18"/>
      <w:szCs w:val="22"/>
      <w:lang w:val="en-GB"/>
    </w:rPr>
  </w:style>
  <w:style w:type="character" w:customStyle="1" w:styleId="291">
    <w:name w:val="Body Text First Indent 2 Char"/>
    <w:link w:val="87"/>
    <w:semiHidden/>
    <w:qFormat/>
    <w:uiPriority w:val="99"/>
    <w:rPr>
      <w:rFonts w:ascii="Verdana" w:hAnsi="Verdana"/>
      <w:sz w:val="18"/>
      <w:szCs w:val="22"/>
      <w:lang w:val="en-GB"/>
    </w:rPr>
  </w:style>
  <w:style w:type="character" w:customStyle="1" w:styleId="292">
    <w:name w:val="Body Text Indent 2 Char"/>
    <w:link w:val="51"/>
    <w:semiHidden/>
    <w:qFormat/>
    <w:uiPriority w:val="99"/>
    <w:rPr>
      <w:rFonts w:ascii="Verdana" w:hAnsi="Verdana"/>
      <w:sz w:val="18"/>
      <w:szCs w:val="22"/>
      <w:lang w:val="en-GB"/>
    </w:rPr>
  </w:style>
  <w:style w:type="character" w:customStyle="1" w:styleId="293">
    <w:name w:val="Body Text Indent 3 Ch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qFormat/>
    <w:uiPriority w:val="99"/>
    <w:rPr>
      <w:rFonts w:ascii="Verdana" w:hAnsi="Verdana"/>
      <w:sz w:val="18"/>
      <w:szCs w:val="22"/>
      <w:lang w:val="en-GB"/>
    </w:rPr>
  </w:style>
  <w:style w:type="character" w:customStyle="1" w:styleId="296">
    <w:name w:val="Comment Text Char"/>
    <w:link w:val="29"/>
    <w:qFormat/>
    <w:uiPriority w:val="99"/>
    <w:rPr>
      <w:rFonts w:ascii="Verdana" w:hAnsi="Verdana"/>
      <w:lang w:val="en-GB"/>
    </w:rPr>
  </w:style>
  <w:style w:type="character" w:customStyle="1" w:styleId="297">
    <w:name w:val="Comment Subject Char"/>
    <w:link w:val="85"/>
    <w:qFormat/>
    <w:uiPriority w:val="99"/>
    <w:rPr>
      <w:rFonts w:ascii="Verdana" w:hAnsi="Verdana"/>
      <w:b/>
      <w:bCs/>
      <w:lang w:val="en-GB"/>
    </w:rPr>
  </w:style>
  <w:style w:type="character" w:customStyle="1" w:styleId="298">
    <w:name w:val="Date Char"/>
    <w:link w:val="50"/>
    <w:semiHidden/>
    <w:qFormat/>
    <w:uiPriority w:val="99"/>
    <w:rPr>
      <w:rFonts w:ascii="Verdana" w:hAnsi="Verdana"/>
      <w:sz w:val="18"/>
      <w:szCs w:val="22"/>
      <w:lang w:val="en-GB"/>
    </w:rPr>
  </w:style>
  <w:style w:type="character" w:customStyle="1" w:styleId="299">
    <w:name w:val="Document Map Char"/>
    <w:link w:val="27"/>
    <w:semiHidden/>
    <w:qFormat/>
    <w:uiPriority w:val="99"/>
    <w:rPr>
      <w:rFonts w:ascii="Tahoma" w:hAnsi="Tahoma" w:cs="Tahoma"/>
      <w:sz w:val="16"/>
      <w:szCs w:val="16"/>
      <w:lang w:val="en-GB"/>
    </w:rPr>
  </w:style>
  <w:style w:type="character" w:customStyle="1" w:styleId="300">
    <w:name w:val="E-mail Signature Char"/>
    <w:link w:val="20"/>
    <w:semiHidden/>
    <w:qFormat/>
    <w:uiPriority w:val="99"/>
    <w:rPr>
      <w:rFonts w:ascii="Verdana" w:hAnsi="Verdana"/>
      <w:sz w:val="18"/>
      <w:szCs w:val="22"/>
      <w:lang w:val="en-GB"/>
    </w:rPr>
  </w:style>
  <w:style w:type="character" w:customStyle="1" w:styleId="301">
    <w:name w:val="HTML Address Char"/>
    <w:link w:val="41"/>
    <w:semiHidden/>
    <w:qFormat/>
    <w:uiPriority w:val="99"/>
    <w:rPr>
      <w:rFonts w:ascii="Verdana" w:hAnsi="Verdana"/>
      <w:i/>
      <w:iCs/>
      <w:sz w:val="18"/>
      <w:szCs w:val="22"/>
      <w:lang w:val="en-GB"/>
    </w:rPr>
  </w:style>
  <w:style w:type="character" w:customStyle="1" w:styleId="302">
    <w:name w:val="HTML Preformatted Ch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qFormat/>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qFormat/>
    <w:uiPriority w:val="99"/>
    <w:rPr>
      <w:rFonts w:ascii="Consolas" w:hAnsi="Consolas" w:cs="Consolas"/>
      <w:lang w:val="en-GB"/>
    </w:rPr>
  </w:style>
  <w:style w:type="character" w:customStyle="1" w:styleId="308">
    <w:name w:val="Message Header Ch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qFormat/>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Plain Text Ch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qFormat/>
    <w:uiPriority w:val="59"/>
    <w:rPr>
      <w:rFonts w:ascii="Verdana" w:hAnsi="Verdana"/>
      <w:i/>
      <w:iCs/>
      <w:color w:val="000000"/>
      <w:sz w:val="18"/>
      <w:szCs w:val="22"/>
      <w:lang w:val="en-GB"/>
    </w:rPr>
  </w:style>
  <w:style w:type="character" w:customStyle="1" w:styleId="315">
    <w:name w:val="Salutation Char"/>
    <w:link w:val="31"/>
    <w:semiHidden/>
    <w:qFormat/>
    <w:uiPriority w:val="99"/>
    <w:rPr>
      <w:rFonts w:ascii="Verdana" w:hAnsi="Verdana"/>
      <w:sz w:val="18"/>
      <w:szCs w:val="22"/>
      <w:lang w:val="en-GB"/>
    </w:rPr>
  </w:style>
  <w:style w:type="character" w:customStyle="1" w:styleId="316">
    <w:name w:val="Signature Ch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B0F8B5-8F46-4B2E-A471-5A9C2285DF02}">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2</Pages>
  <Words>386</Words>
  <Characters>2264</Characters>
  <Lines>25</Lines>
  <Paragraphs>7</Paragraphs>
  <TotalTime>0</TotalTime>
  <ScaleCrop>false</ScaleCrop>
  <LinksUpToDate>false</LinksUpToDate>
  <CharactersWithSpaces>2609</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2025-06-06T08:54:00Z</dcterms:created>
  <dc:creator>mark louie medidas</dc:creator>
  <dc:description>LDIMD - DTU</dc:description>
  <cp:lastModifiedBy> 譞譞</cp:lastModifiedBy>
  <dcterms:modified xsi:type="dcterms:W3CDTF">2025-07-24T16:12:03Z</dcterms:modified>
  <dc:title>NOTIFICATION</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NC</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2052-12.1.0.21915</vt:lpwstr>
  </property>
  <property fmtid="{D5CDD505-2E9C-101B-9397-08002B2CF9AE}" pid="7" name="ICV">
    <vt:lpwstr>28665543008642F9B2B9D00FF00E92D4_12</vt:lpwstr>
  </property>
</Properties>
</file>