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8846D">
      <w:pPr>
        <w:pStyle w:val="84"/>
        <w:rPr>
          <w:caps w:val="0"/>
          <w:kern w:val="0"/>
        </w:rPr>
      </w:pPr>
      <w:r>
        <w:rPr>
          <w:caps w:val="0"/>
          <w:kern w:val="0"/>
        </w:rPr>
        <w:t>NOTIFICATION</w:t>
      </w:r>
    </w:p>
    <w:p w14:paraId="7C6D1679">
      <w:pPr>
        <w:jc w:val="center"/>
      </w:pPr>
      <w:r>
        <w:t>The following notification is being circulated in accordance with Article 10.6</w:t>
      </w:r>
    </w:p>
    <w:p w14:paraId="000407BD"/>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D0E5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5A980CD">
            <w:pPr>
              <w:spacing w:before="120" w:after="120"/>
              <w:jc w:val="left"/>
            </w:pPr>
            <w:r>
              <w:rPr>
                <w:b/>
              </w:rPr>
              <w:t>1.</w:t>
            </w:r>
          </w:p>
        </w:tc>
        <w:tc>
          <w:tcPr>
            <w:tcW w:w="8546" w:type="dxa"/>
            <w:tcBorders>
              <w:bottom w:val="single" w:color="auto" w:sz="6" w:space="0"/>
            </w:tcBorders>
            <w:shd w:val="clear" w:color="auto" w:fill="auto"/>
          </w:tcPr>
          <w:p w14:paraId="42BF1995">
            <w:pPr>
              <w:spacing w:before="120" w:after="120"/>
            </w:pPr>
            <w:r>
              <w:rPr>
                <w:b/>
              </w:rPr>
              <w:t>Notifying Member:</w:t>
            </w:r>
            <w:r>
              <w:t xml:space="preserve"> </w:t>
            </w:r>
            <w:r>
              <w:rPr>
                <w:u w:val="single"/>
              </w:rPr>
              <w:t>GUYANA</w:t>
            </w:r>
          </w:p>
          <w:p w14:paraId="38453A0D">
            <w:pPr>
              <w:spacing w:after="120"/>
            </w:pPr>
            <w:r>
              <w:rPr>
                <w:b/>
              </w:rPr>
              <w:t>If applicable, name of local government involved (Article 3.2 and 7.2):</w:t>
            </w:r>
            <w:r>
              <w:t xml:space="preserve"> </w:t>
            </w:r>
          </w:p>
        </w:tc>
      </w:tr>
      <w:tr w14:paraId="6F1E1F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F4009B">
            <w:pPr>
              <w:spacing w:before="120" w:after="120"/>
              <w:jc w:val="left"/>
            </w:pPr>
            <w:r>
              <w:rPr>
                <w:b/>
              </w:rPr>
              <w:t>2.</w:t>
            </w:r>
          </w:p>
        </w:tc>
        <w:tc>
          <w:tcPr>
            <w:tcW w:w="8546" w:type="dxa"/>
            <w:tcBorders>
              <w:top w:val="single" w:color="auto" w:sz="6" w:space="0"/>
              <w:bottom w:val="single" w:color="auto" w:sz="6" w:space="0"/>
            </w:tcBorders>
            <w:shd w:val="clear" w:color="auto" w:fill="auto"/>
          </w:tcPr>
          <w:p w14:paraId="55C80250">
            <w:pPr>
              <w:spacing w:before="120" w:after="120"/>
            </w:pPr>
            <w:r>
              <w:rPr>
                <w:b/>
              </w:rPr>
              <w:t>Agency responsible:</w:t>
            </w:r>
            <w:r>
              <w:t xml:space="preserve"> </w:t>
            </w:r>
          </w:p>
          <w:p w14:paraId="2D6ABA58">
            <w:r>
              <w:t>Guyana National Bureau of Standards (GNBS)</w:t>
            </w:r>
          </w:p>
          <w:p w14:paraId="089FA23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9C00B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A8421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EFCF7EC">
            <w:pPr>
              <w:spacing w:before="120" w:after="120"/>
            </w:pPr>
            <w:r>
              <w:rPr>
                <w:b/>
              </w:rPr>
              <w:t>Notified under Article 2.9.2 [X], 2.10.1 [</w:t>
            </w:r>
            <w:r>
              <w:rPr>
                <w:rFonts w:hint="eastAsia" w:eastAsia="宋体"/>
                <w:b/>
                <w:lang w:val="en-US" w:eastAsia="zh-CN"/>
              </w:rPr>
              <w:t xml:space="preserve"> </w:t>
            </w:r>
            <w:r>
              <w:rPr>
                <w:b/>
              </w:rPr>
              <w:t>], 5.6.2 [ ], 5.7.1 [ ], 3.2 [ ], 7.2 [ ], other:</w:t>
            </w:r>
            <w:r>
              <w:t xml:space="preserve"> </w:t>
            </w:r>
          </w:p>
        </w:tc>
      </w:tr>
      <w:tr w14:paraId="295F92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77898A8">
            <w:pPr>
              <w:spacing w:before="120" w:after="120"/>
              <w:jc w:val="left"/>
            </w:pPr>
            <w:r>
              <w:rPr>
                <w:b/>
              </w:rPr>
              <w:t>4.</w:t>
            </w:r>
          </w:p>
        </w:tc>
        <w:tc>
          <w:tcPr>
            <w:tcW w:w="8546" w:type="dxa"/>
            <w:tcBorders>
              <w:top w:val="single" w:color="auto" w:sz="6" w:space="0"/>
              <w:bottom w:val="single" w:color="auto" w:sz="6" w:space="0"/>
            </w:tcBorders>
            <w:shd w:val="clear" w:color="auto" w:fill="auto"/>
          </w:tcPr>
          <w:p w14:paraId="7885356D">
            <w:pPr>
              <w:spacing w:before="120" w:after="120"/>
            </w:pPr>
            <w:r>
              <w:rPr>
                <w:b/>
              </w:rPr>
              <w:t>Products covered (HS or CCCN where applicable, otherwise national tariff heading. ICS numbers may be provided in addition, where applicable):</w:t>
            </w:r>
            <w:r>
              <w:t xml:space="preserve"> Processes in the food industry (ICS code(s): 67.020)</w:t>
            </w:r>
          </w:p>
        </w:tc>
      </w:tr>
      <w:tr w14:paraId="119E5B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966EBD">
            <w:pPr>
              <w:spacing w:before="120" w:after="120"/>
              <w:jc w:val="left"/>
            </w:pPr>
            <w:r>
              <w:rPr>
                <w:b/>
              </w:rPr>
              <w:t>5.</w:t>
            </w:r>
          </w:p>
        </w:tc>
        <w:tc>
          <w:tcPr>
            <w:tcW w:w="8546" w:type="dxa"/>
            <w:tcBorders>
              <w:top w:val="single" w:color="auto" w:sz="6" w:space="0"/>
              <w:bottom w:val="single" w:color="auto" w:sz="6" w:space="0"/>
            </w:tcBorders>
            <w:shd w:val="clear" w:color="auto" w:fill="auto"/>
          </w:tcPr>
          <w:p w14:paraId="70233468">
            <w:pPr>
              <w:spacing w:before="120" w:after="120"/>
            </w:pPr>
            <w:r>
              <w:rPr>
                <w:b/>
              </w:rPr>
              <w:t>Title, number of pages and language(s) of the notified document:</w:t>
            </w:r>
            <w:r>
              <w:t xml:space="preserve"> Requirements for food vendors; (23 page(s), in English)</w:t>
            </w:r>
          </w:p>
        </w:tc>
      </w:tr>
      <w:tr w14:paraId="08FDC3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31FFF52">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E547447">
            <w:pPr>
              <w:spacing w:before="120" w:after="120"/>
            </w:pPr>
            <w:r>
              <w:rPr>
                <w:b/>
              </w:rPr>
              <w:t>Description of content:</w:t>
            </w:r>
            <w:r>
              <w:t xml:space="preserve"> This standard specifies the minimum requirements and control checkpoints to be observed by food vendors in the preparation, presentation, and service of foods and beverages. It also provides guidance on the areas used for food vending and applies to mobile, fixed, street, market, seasonal/event, institutional, online and home-based food vendors.</w:t>
            </w:r>
          </w:p>
        </w:tc>
      </w:tr>
      <w:tr w14:paraId="62B4563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A3C1B6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45958E7">
            <w:pPr>
              <w:spacing w:before="120" w:after="120"/>
            </w:pPr>
            <w:r>
              <w:rPr>
                <w:b/>
              </w:rPr>
              <w:t>Objective and rationale, including the nature of urgent problems where applicable:</w:t>
            </w:r>
            <w:r>
              <w:t xml:space="preserve"> The unregularized nature of food vending presents significant public health risks due to inadequate hygiene practices, exposure to environmental contaminants, and the absence of proper food handling measures. This standard provides requirements to guide food vendors in the preparation and sale of safe products.; Prevention of deceptive practices and consumer protection; Protection of human health or safety</w:t>
            </w:r>
          </w:p>
        </w:tc>
      </w:tr>
      <w:tr w14:paraId="081EC48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B5C034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C7C8300">
            <w:pPr>
              <w:spacing w:before="120" w:after="120"/>
              <w:rPr>
                <w:bCs/>
              </w:rPr>
            </w:pPr>
            <w:r>
              <w:rPr>
                <w:b/>
              </w:rPr>
              <w:t>Relevant documents:</w:t>
            </w:r>
            <w:r>
              <w:t xml:space="preserve"> </w:t>
            </w:r>
          </w:p>
          <w:p w14:paraId="044229E6">
            <w:pPr>
              <w:spacing w:before="120" w:after="120"/>
            </w:pPr>
            <w:r>
              <w:rPr>
                <w:b/>
                <w:bCs/>
              </w:rPr>
              <w:t>Food Safety Act</w:t>
            </w:r>
            <w:r>
              <w:t>, Act No. 19 of 2019</w:t>
            </w:r>
          </w:p>
          <w:p w14:paraId="4DF32A4A">
            <w:pPr>
              <w:spacing w:before="120" w:after="120"/>
            </w:pPr>
            <w:r>
              <w:rPr>
                <w:b/>
                <w:bCs/>
              </w:rPr>
              <w:t>CXC 43R:1995</w:t>
            </w:r>
            <w:r>
              <w:t xml:space="preserve"> – Recommended Regional Code of Hygienic Practice for Street-Vended Foods</w:t>
            </w:r>
          </w:p>
          <w:p w14:paraId="4F7D35BC">
            <w:pPr>
              <w:spacing w:before="120" w:after="120"/>
            </w:pPr>
            <w:r>
              <w:rPr>
                <w:b/>
                <w:bCs/>
              </w:rPr>
              <w:t>CXG 103-2024</w:t>
            </w:r>
            <w:r>
              <w:t xml:space="preserve"> – Guidelines for food hygiene control measures in traditional markets for food.</w:t>
            </w:r>
          </w:p>
          <w:p w14:paraId="49CD2779">
            <w:pPr>
              <w:spacing w:before="120" w:after="120"/>
            </w:pPr>
            <w:r>
              <w:t>A notice of the Requirements for food vendors, will appear in the Official Gazette of Guyana Legal Supplement. The document will appear as a Guyana standard, with mandatory status, and will be available for sale.</w:t>
            </w:r>
          </w:p>
        </w:tc>
      </w:tr>
      <w:tr w14:paraId="0FA2B84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F659D86">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B65DFD8">
            <w:pPr>
              <w:spacing w:before="120" w:after="120"/>
            </w:pPr>
            <w:r>
              <w:rPr>
                <w:b/>
              </w:rPr>
              <w:t>Proposed date of adoption:</w:t>
            </w:r>
            <w:r>
              <w:t xml:space="preserve"> To be determined</w:t>
            </w:r>
          </w:p>
          <w:p w14:paraId="75F1D364">
            <w:pPr>
              <w:spacing w:after="120"/>
            </w:pPr>
            <w:r>
              <w:rPr>
                <w:b/>
              </w:rPr>
              <w:t>Proposed date of entry into force:</w:t>
            </w:r>
            <w:r>
              <w:t xml:space="preserve"> To be determined</w:t>
            </w:r>
          </w:p>
        </w:tc>
      </w:tr>
      <w:tr w14:paraId="3F11252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84B84F">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E9FAF34">
            <w:pPr>
              <w:spacing w:before="120" w:after="120"/>
              <w:rPr>
                <w:rFonts w:hint="eastAsia" w:eastAsia="宋体"/>
                <w:lang w:val="en-US" w:eastAsia="zh-CN"/>
              </w:rPr>
            </w:pPr>
            <w:r>
              <w:rPr>
                <w:b/>
              </w:rPr>
              <w:t>Final date for comments:</w:t>
            </w:r>
            <w:r>
              <w:t xml:space="preserve"> 23 September 2025</w:t>
            </w:r>
            <w:r>
              <w:rPr>
                <w:rFonts w:hint="eastAsia" w:eastAsia="宋体"/>
                <w:lang w:val="en-US" w:eastAsia="zh-CN"/>
              </w:rPr>
              <w:t xml:space="preserve"> </w:t>
            </w:r>
            <w:bookmarkStart w:id="10" w:name="_GoBack"/>
            <w:bookmarkEnd w:id="10"/>
          </w:p>
          <w:p w14:paraId="1FB70E30">
            <w:pPr>
              <w:tabs>
                <w:tab w:val="left" w:pos="1418"/>
                <w:tab w:val="left" w:pos="2127"/>
                <w:tab w:val="left" w:pos="2835"/>
                <w:tab w:val="left" w:pos="3402"/>
              </w:tabs>
              <w:spacing w:before="120" w:after="120"/>
              <w:rPr>
                <w:b/>
                <w:bCs/>
              </w:rPr>
            </w:pPr>
            <w:r>
              <w:rPr>
                <w:b/>
                <w:bCs/>
              </w:rPr>
              <w:t>[X] 60 days from notification</w:t>
            </w:r>
            <w:r>
              <w:t xml:space="preserve"> </w:t>
            </w:r>
          </w:p>
          <w:p w14:paraId="4CA8148A">
            <w:pPr>
              <w:spacing w:before="120" w:after="120"/>
            </w:pPr>
            <w:r>
              <w:rPr>
                <w:b/>
                <w:bCs/>
              </w:rPr>
              <w:t>Contact details of agency or authority designated to handle comments regarding the notification:</w:t>
            </w:r>
            <w:r>
              <w:t xml:space="preserve"> </w:t>
            </w:r>
          </w:p>
          <w:p w14:paraId="6728C873">
            <w:r>
              <w:t>Guyana National Bureau of Standards (GNBS)</w:t>
            </w:r>
          </w:p>
          <w:p w14:paraId="229EC736">
            <w:r>
              <w:t>WTO/TBT Enquiry Point</w:t>
            </w:r>
          </w:p>
          <w:p w14:paraId="404D1784">
            <w:r>
              <w:t>Contact: Ms. Nickasi McCalmon</w:t>
            </w:r>
          </w:p>
          <w:p w14:paraId="688C05EE">
            <w:r>
              <w:t>Track MB, Block B, National Exhibition Centre, Sophia, Georgetown, Guyana.</w:t>
            </w:r>
          </w:p>
          <w:p w14:paraId="5ECC79A3">
            <w:r>
              <w:t>Tel: Tel: +(592) 219 0062; +(592) 219 0064; +(592) 219 0065; +(592) 219 0066 Ext. 2014</w:t>
            </w:r>
          </w:p>
          <w:p w14:paraId="65635DEB">
            <w:r>
              <w:t>Fax: +(592) 219 0070</w:t>
            </w:r>
          </w:p>
          <w:p w14:paraId="3016FC4E">
            <w:r>
              <w:t xml:space="preserve">Email: </w:t>
            </w:r>
            <w:r>
              <w:fldChar w:fldCharType="begin"/>
            </w:r>
            <w:r>
              <w:instrText xml:space="preserve"> HYPERLINK "mailto:wto-tbt.enquiry@gnbsgy.org" </w:instrText>
            </w:r>
            <w:r>
              <w:fldChar w:fldCharType="separate"/>
            </w:r>
            <w:r>
              <w:rPr>
                <w:color w:val="0000FF"/>
                <w:u w:val="single"/>
              </w:rPr>
              <w:t>wto-tbt.enquiry@gnbsgy.org</w:t>
            </w:r>
            <w:r>
              <w:rPr>
                <w:color w:val="0000FF"/>
                <w:u w:val="single"/>
              </w:rPr>
              <w:fldChar w:fldCharType="end"/>
            </w:r>
          </w:p>
          <w:p w14:paraId="78BAA62B">
            <w:pPr>
              <w:spacing w:before="120" w:after="120"/>
            </w:pPr>
            <w:r>
              <w:t xml:space="preserve">Website: </w:t>
            </w:r>
            <w:r>
              <w:fldChar w:fldCharType="begin"/>
            </w:r>
            <w:r>
              <w:instrText xml:space="preserve"> HYPERLINK "http://www.gnbsgy.org" \t "_blank" </w:instrText>
            </w:r>
            <w:r>
              <w:fldChar w:fldCharType="separate"/>
            </w:r>
            <w:r>
              <w:rPr>
                <w:color w:val="0000FF"/>
                <w:u w:val="single"/>
              </w:rPr>
              <w:t>http://www.gnbsgy.org</w:t>
            </w:r>
            <w:r>
              <w:rPr>
                <w:color w:val="0000FF"/>
                <w:u w:val="single"/>
              </w:rPr>
              <w:fldChar w:fldCharType="end"/>
            </w:r>
          </w:p>
        </w:tc>
      </w:tr>
      <w:tr w14:paraId="1BF3662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FCAF2AE">
            <w:pPr>
              <w:keepNext/>
              <w:keepLines/>
              <w:spacing w:before="120" w:after="120"/>
              <w:jc w:val="left"/>
              <w:rPr>
                <w:b/>
              </w:rPr>
            </w:pPr>
            <w:r>
              <w:rPr>
                <w:b/>
              </w:rPr>
              <w:t>11.</w:t>
            </w:r>
          </w:p>
        </w:tc>
        <w:tc>
          <w:tcPr>
            <w:tcW w:w="8546" w:type="dxa"/>
            <w:tcBorders>
              <w:top w:val="single" w:color="auto" w:sz="6" w:space="0"/>
            </w:tcBorders>
            <w:shd w:val="clear" w:color="auto" w:fill="auto"/>
          </w:tcPr>
          <w:p w14:paraId="77CCC8CF">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5CD041CB">
            <w:pPr>
              <w:rPr>
                <w:iCs/>
              </w:rPr>
            </w:pPr>
            <w:r>
              <w:rPr>
                <w:iCs/>
              </w:rPr>
              <w:t>Guyana National Bureau of Standards (GNBS)</w:t>
            </w:r>
          </w:p>
          <w:p w14:paraId="3C78E86E">
            <w:pPr>
              <w:rPr>
                <w:iCs/>
              </w:rPr>
            </w:pPr>
            <w:r>
              <w:rPr>
                <w:iCs/>
              </w:rPr>
              <w:t>Track MB, Block B, National Exhibition Centre, Sophia, Georgetown, Guyana.</w:t>
            </w:r>
          </w:p>
          <w:p w14:paraId="05799C15">
            <w:pPr>
              <w:rPr>
                <w:iCs/>
              </w:rPr>
            </w:pPr>
            <w:r>
              <w:rPr>
                <w:iCs/>
              </w:rPr>
              <w:t>Tel: Tel: +(592) 219 0062; +(592) 219 0064; +(592) 219 0065; +(592) 219 0066 Ext. 2015</w:t>
            </w:r>
          </w:p>
          <w:p w14:paraId="2565761F">
            <w:pPr>
              <w:rPr>
                <w:iCs/>
              </w:rPr>
            </w:pPr>
            <w:r>
              <w:rPr>
                <w:iCs/>
              </w:rPr>
              <w:t>Fax: +(592) 219 0070</w:t>
            </w:r>
          </w:p>
          <w:p w14:paraId="40714859">
            <w:pPr>
              <w:rPr>
                <w:iCs/>
              </w:rPr>
            </w:pPr>
            <w:r>
              <w:rPr>
                <w:iCs/>
              </w:rPr>
              <w:t xml:space="preserve">Email: </w:t>
            </w:r>
            <w:r>
              <w:fldChar w:fldCharType="begin"/>
            </w:r>
            <w:r>
              <w:instrText xml:space="preserve"> HYPERLINK "mailto:standards@gnbsgy.org" </w:instrText>
            </w:r>
            <w:r>
              <w:fldChar w:fldCharType="separate"/>
            </w:r>
            <w:r>
              <w:rPr>
                <w:iCs/>
                <w:color w:val="0000FF"/>
                <w:u w:val="single"/>
              </w:rPr>
              <w:t>standards@gnbsgy.org</w:t>
            </w:r>
            <w:r>
              <w:rPr>
                <w:iCs/>
                <w:color w:val="0000FF"/>
                <w:u w:val="single"/>
              </w:rPr>
              <w:fldChar w:fldCharType="end"/>
            </w:r>
            <w:r>
              <w:rPr>
                <w:iCs/>
              </w:rPr>
              <w:t xml:space="preserve">; </w:t>
            </w:r>
            <w:r>
              <w:fldChar w:fldCharType="begin"/>
            </w:r>
            <w:r>
              <w:instrText xml:space="preserve"> HYPERLINK "mailto:public.comments@gnbsgy.org" </w:instrText>
            </w:r>
            <w:r>
              <w:fldChar w:fldCharType="separate"/>
            </w:r>
            <w:r>
              <w:rPr>
                <w:iCs/>
                <w:color w:val="0000FF"/>
                <w:u w:val="single"/>
              </w:rPr>
              <w:t>public.comments@gnbsgy.org</w:t>
            </w:r>
            <w:r>
              <w:rPr>
                <w:iCs/>
                <w:color w:val="0000FF"/>
                <w:u w:val="single"/>
              </w:rPr>
              <w:fldChar w:fldCharType="end"/>
            </w:r>
          </w:p>
          <w:p w14:paraId="6A27FC9E">
            <w:pPr>
              <w:keepNext/>
              <w:keepLines/>
              <w:rPr>
                <w:rFonts w:hint="eastAsia" w:eastAsia="宋体"/>
                <w:bCs/>
                <w:color w:val="0000FF"/>
                <w:u w:val="single"/>
                <w:lang w:val="en-US" w:eastAsia="zh-CN"/>
              </w:rPr>
            </w:pPr>
            <w:r>
              <w:rPr>
                <w:iCs/>
              </w:rPr>
              <w:t xml:space="preserve">Website: </w:t>
            </w:r>
            <w:r>
              <w:fldChar w:fldCharType="begin"/>
            </w:r>
            <w:r>
              <w:instrText xml:space="preserve"> HYPERLINK "http://www.gnbsgy.org" \t "_blank" </w:instrText>
            </w:r>
            <w:r>
              <w:fldChar w:fldCharType="separate"/>
            </w:r>
            <w:r>
              <w:rPr>
                <w:iCs/>
                <w:color w:val="0000FF"/>
                <w:u w:val="single"/>
              </w:rPr>
              <w:t>http://www.gnbsgy.org</w:t>
            </w:r>
            <w:r>
              <w:rPr>
                <w:iCs/>
                <w:color w:val="0000FF"/>
                <w:u w:val="single"/>
              </w:rPr>
              <w:fldChar w:fldCharType="end"/>
            </w:r>
            <w:r>
              <w:rPr>
                <w:rFonts w:hint="eastAsia" w:eastAsia="宋体"/>
                <w:bCs/>
                <w:color w:val="0000FF"/>
                <w:u w:val="single"/>
                <w:lang w:val="en-US" w:eastAsia="zh-CN"/>
              </w:rPr>
              <w:t xml:space="preserve"> </w:t>
            </w:r>
          </w:p>
          <w:p w14:paraId="42090BF6">
            <w:pPr>
              <w:keepNext/>
              <w:keepLines/>
              <w:rPr>
                <w:rFonts w:hint="default" w:eastAsia="宋体"/>
                <w:bCs/>
                <w:color w:val="0000FF"/>
                <w:u w:val="single"/>
                <w:lang w:val="en-US" w:eastAsia="zh-CN"/>
              </w:rPr>
            </w:pPr>
          </w:p>
          <w:p w14:paraId="2928A47C">
            <w:pPr>
              <w:pBdr>
                <w:top w:val="none" w:color="auto" w:sz="0" w:space="4"/>
                <w:bottom w:val="none" w:color="auto" w:sz="0" w:space="4"/>
              </w:pBdr>
              <w:rPr>
                <w:iCs/>
              </w:rPr>
            </w:pPr>
            <w:r>
              <w:fldChar w:fldCharType="begin"/>
            </w:r>
            <w:r>
              <w:instrText xml:space="preserve"> HYPERLINK "https://members.wto.org/crnattachments/2025/TBT/GUY/25_04856_00_e.pdf" \t "_blank" </w:instrText>
            </w:r>
            <w:r>
              <w:fldChar w:fldCharType="separate"/>
            </w:r>
            <w:r>
              <w:rPr>
                <w:iCs/>
                <w:color w:val="0000FF"/>
                <w:u w:val="single"/>
              </w:rPr>
              <w:t>https://members.wto.org/crnattachments/2025/TBT/GUY/25_04856_00_e.pdf</w:t>
            </w:r>
            <w:r>
              <w:rPr>
                <w:iCs/>
                <w:color w:val="0000FF"/>
                <w:u w:val="single"/>
              </w:rPr>
              <w:fldChar w:fldCharType="end"/>
            </w:r>
          </w:p>
          <w:p w14:paraId="173AE7B1">
            <w:r>
              <w:fldChar w:fldCharType="begin"/>
            </w:r>
            <w:r>
              <w:instrText xml:space="preserve"> HYPERLINK "https://gnbsgy.org/standardisation/standards-for-public-comments/" \t "_blank" </w:instrText>
            </w:r>
            <w:r>
              <w:fldChar w:fldCharType="separate"/>
            </w:r>
            <w:r>
              <w:rPr>
                <w:iCs/>
                <w:color w:val="0000FF"/>
                <w:u w:val="single"/>
              </w:rPr>
              <w:t>https://gnbsgy.org/standardisation/standards-for-public-comments/</w:t>
            </w:r>
            <w:r>
              <w:rPr>
                <w:iCs/>
                <w:color w:val="0000FF"/>
                <w:u w:val="single"/>
              </w:rPr>
              <w:fldChar w:fldCharType="end"/>
            </w:r>
          </w:p>
          <w:p w14:paraId="078D540D">
            <w:pPr>
              <w:keepNext/>
              <w:keepLines/>
              <w:spacing w:after="120"/>
              <w:rPr>
                <w:bCs/>
              </w:rPr>
            </w:pPr>
          </w:p>
        </w:tc>
      </w:tr>
    </w:tbl>
    <w:p w14:paraId="62B5393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AC6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77659">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F808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83C12">
    <w:pPr>
      <w:pStyle w:val="58"/>
      <w:pBdr>
        <w:bottom w:val="single" w:color="auto" w:sz="4" w:space="1"/>
      </w:pBdr>
      <w:tabs>
        <w:tab w:val="clear" w:pos="4513"/>
        <w:tab w:val="clear" w:pos="9027"/>
      </w:tabs>
      <w:jc w:val="center"/>
    </w:pPr>
    <w:bookmarkStart w:id="0" w:name="spsSymbolHeader"/>
    <w:r>
      <w:t>G/TBT/N/GUY/61</w:t>
    </w:r>
    <w:bookmarkEnd w:id="0"/>
  </w:p>
  <w:p w14:paraId="71757213">
    <w:pPr>
      <w:pStyle w:val="58"/>
      <w:pBdr>
        <w:bottom w:val="single" w:color="auto" w:sz="4" w:space="1"/>
      </w:pBdr>
      <w:tabs>
        <w:tab w:val="clear" w:pos="4513"/>
        <w:tab w:val="clear" w:pos="9027"/>
      </w:tabs>
      <w:jc w:val="center"/>
    </w:pPr>
  </w:p>
  <w:p w14:paraId="41A6468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2ED6E9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3E925">
    <w:pPr>
      <w:pStyle w:val="58"/>
      <w:pBdr>
        <w:bottom w:val="single" w:color="auto" w:sz="4" w:space="1"/>
      </w:pBdr>
      <w:tabs>
        <w:tab w:val="clear" w:pos="4513"/>
        <w:tab w:val="clear" w:pos="9027"/>
      </w:tabs>
      <w:jc w:val="center"/>
    </w:pPr>
    <w:r>
      <w:t>tbtSymbol</w:t>
    </w:r>
  </w:p>
  <w:p w14:paraId="6433E9E9">
    <w:pPr>
      <w:pStyle w:val="58"/>
      <w:pBdr>
        <w:bottom w:val="single" w:color="auto" w:sz="4" w:space="1"/>
      </w:pBdr>
      <w:tabs>
        <w:tab w:val="clear" w:pos="4513"/>
        <w:tab w:val="clear" w:pos="9027"/>
      </w:tabs>
      <w:jc w:val="center"/>
    </w:pPr>
  </w:p>
  <w:p w14:paraId="36A175B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B2D16A3">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76CA4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63AED63C">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455DB81A">
          <w:pPr>
            <w:jc w:val="right"/>
            <w:rPr>
              <w:b/>
              <w:color w:val="FF0000"/>
              <w:szCs w:val="16"/>
            </w:rPr>
          </w:pPr>
        </w:p>
      </w:tc>
    </w:tr>
    <w:bookmarkEnd w:id="1"/>
    <w:tr w14:paraId="1FD30B83">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DEBA68F">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4619D0F">
          <w:pPr>
            <w:jc w:val="right"/>
            <w:rPr>
              <w:b/>
              <w:szCs w:val="16"/>
            </w:rPr>
          </w:pPr>
        </w:p>
      </w:tc>
    </w:tr>
    <w:tr w14:paraId="3875797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E6D69DE">
          <w:pPr>
            <w:jc w:val="left"/>
            <w:rPr>
              <w:lang w:eastAsia="en-GB"/>
            </w:rPr>
          </w:pPr>
        </w:p>
      </w:tc>
      <w:tc>
        <w:tcPr>
          <w:tcW w:w="5448" w:type="dxa"/>
          <w:gridSpan w:val="2"/>
          <w:shd w:val="clear" w:color="auto" w:fill="FFFFFF"/>
          <w:tcMar>
            <w:left w:w="108" w:type="dxa"/>
            <w:right w:w="108" w:type="dxa"/>
          </w:tcMar>
        </w:tcPr>
        <w:p w14:paraId="46835C37">
          <w:pPr>
            <w:jc w:val="right"/>
            <w:rPr>
              <w:rFonts w:hint="eastAsia" w:eastAsia="宋体"/>
              <w:b/>
              <w:szCs w:val="16"/>
              <w:lang w:eastAsia="zh-CN"/>
            </w:rPr>
          </w:pPr>
          <w:bookmarkStart w:id="2" w:name="bmkSymbols"/>
          <w:r>
            <w:rPr>
              <w:b/>
              <w:szCs w:val="16"/>
            </w:rPr>
            <w:t>G/TBT/N/GUY/6</w:t>
          </w:r>
          <w:bookmarkEnd w:id="2"/>
          <w:r>
            <w:rPr>
              <w:rFonts w:hint="eastAsia" w:eastAsia="宋体"/>
              <w:b/>
              <w:szCs w:val="16"/>
              <w:lang w:val="en-US" w:eastAsia="zh-CN"/>
            </w:rPr>
            <w:t>3</w:t>
          </w:r>
        </w:p>
      </w:tc>
    </w:tr>
    <w:tr w14:paraId="7667A2B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C232D0"/>
      </w:tc>
      <w:tc>
        <w:tcPr>
          <w:tcW w:w="5448" w:type="dxa"/>
          <w:gridSpan w:val="2"/>
          <w:shd w:val="clear" w:color="auto" w:fill="FFFFFF"/>
          <w:tcMar>
            <w:left w:w="108" w:type="dxa"/>
            <w:right w:w="108" w:type="dxa"/>
          </w:tcMar>
          <w:vAlign w:val="center"/>
        </w:tcPr>
        <w:p w14:paraId="6E2401D8">
          <w:pPr>
            <w:jc w:val="right"/>
            <w:rPr>
              <w:szCs w:val="16"/>
            </w:rPr>
          </w:pPr>
          <w:bookmarkStart w:id="3" w:name="bmkDate"/>
          <w:bookmarkStart w:id="4" w:name="spsDateDistribution"/>
          <w:r>
            <w:rPr>
              <w:szCs w:val="16"/>
            </w:rPr>
            <w:t>25 July 2025</w:t>
          </w:r>
          <w:bookmarkEnd w:id="3"/>
          <w:bookmarkEnd w:id="4"/>
        </w:p>
      </w:tc>
    </w:tr>
    <w:tr w14:paraId="01E1A61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0DA5260">
          <w:pPr>
            <w:jc w:val="left"/>
            <w:rPr>
              <w:b/>
            </w:rPr>
          </w:pPr>
          <w:bookmarkStart w:id="5" w:name="bmkSerial"/>
          <w:r>
            <w:rPr>
              <w:b w:val="0"/>
              <w:color w:val="FF0000"/>
            </w:rPr>
            <w:t>(25-</w:t>
          </w:r>
          <w:r>
            <w:rPr>
              <w:rFonts w:hint="eastAsia" w:eastAsia="宋体"/>
              <w:b w:val="0"/>
              <w:color w:val="FF0000"/>
              <w:lang w:val="en-US" w:eastAsia="zh-CN"/>
            </w:rPr>
            <w:t>4805</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5296E52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A50E61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8ADAA01">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95FC68D">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0C96E1A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30A2E"/>
    <w:rsid w:val="004423A4"/>
    <w:rsid w:val="00467032"/>
    <w:rsid w:val="0046754A"/>
    <w:rsid w:val="00473B57"/>
    <w:rsid w:val="0048173D"/>
    <w:rsid w:val="004A23F8"/>
    <w:rsid w:val="004C27A4"/>
    <w:rsid w:val="004E51B2"/>
    <w:rsid w:val="004F203A"/>
    <w:rsid w:val="005104AF"/>
    <w:rsid w:val="0052601B"/>
    <w:rsid w:val="005336B8"/>
    <w:rsid w:val="00533DC1"/>
    <w:rsid w:val="00537F67"/>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0E98"/>
    <w:rsid w:val="006527E2"/>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9F47BC"/>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70C57"/>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77335"/>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16A1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qFormat="1" w:unhideWhenUsed="0" w:uiPriority="2" w:semiHidden="0"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qFormat="1" w:uiPriority="99" w:name="index 7"/>
    <w:lsdException w:uiPriority="99" w:name="index 8"/>
    <w:lsdException w:uiPriority="99" w:name="index 9"/>
    <w:lsdException w:unhideWhenUsed="0" w:uiPriority="39" w:semiHidden="0" w:name="toc 1"/>
    <w:lsdException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unhideWhenUsed="0" w:uiPriority="49" w:semiHidden="0" w:name="endnote reference"/>
    <w:lsdException w:qFormat="1" w:unhideWhenUsed="0" w:uiPriority="49" w:semiHidden="0" w:name="endnote text"/>
    <w:lsdException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uiPriority="99" w:name="List 2"/>
    <w:lsdException w:qFormat="1" w:uiPriority="99" w:name="List 3"/>
    <w:lsdException w:qFormat="1" w:uiPriority="99" w:name="List 4"/>
    <w:lsdException w:qFormat="1" w:uiPriority="99" w:name="List 5"/>
    <w:lsdException w:qFormat="1"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D77B8-E6D0-41DF-9202-F4E5F15F418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559</Words>
  <Characters>3363</Characters>
  <Lines>31</Lines>
  <Paragraphs>8</Paragraphs>
  <TotalTime>0</TotalTime>
  <ScaleCrop>false</ScaleCrop>
  <LinksUpToDate>false</LinksUpToDate>
  <CharactersWithSpaces>3882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2025-05-15T07:41:00Z</dcterms:created>
  <dc:creator>mark louie medidas</dc:creator>
  <dc:description>LDIMD - DTU</dc:description>
  <cp:lastModifiedBy> 譞譞</cp:lastModifiedBy>
  <dcterms:modified xsi:type="dcterms:W3CDTF">2025-07-25T13:38:09Z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401C5B7400CF4AC1B7385A189E4B6D16_12</vt:lpwstr>
  </property>
</Properties>
</file>