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4866F">
      <w:pPr>
        <w:pStyle w:val="84"/>
        <w:rPr>
          <w:caps w:val="0"/>
          <w:kern w:val="0"/>
        </w:rPr>
      </w:pPr>
      <w:r>
        <w:rPr>
          <w:caps w:val="0"/>
          <w:kern w:val="0"/>
        </w:rPr>
        <w:t>NOTIFICATION</w:t>
      </w:r>
    </w:p>
    <w:p w14:paraId="4E45F723">
      <w:pPr>
        <w:jc w:val="center"/>
      </w:pPr>
      <w:r>
        <w:t>The following notification is being circulated in accordance with Article 10.6</w:t>
      </w:r>
    </w:p>
    <w:p w14:paraId="6D26E27F"/>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AA5617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7CC1F7F">
            <w:pPr>
              <w:spacing w:before="120" w:after="120"/>
              <w:jc w:val="left"/>
            </w:pPr>
            <w:r>
              <w:rPr>
                <w:b/>
              </w:rPr>
              <w:t>1.</w:t>
            </w:r>
          </w:p>
        </w:tc>
        <w:tc>
          <w:tcPr>
            <w:tcW w:w="8546" w:type="dxa"/>
            <w:tcBorders>
              <w:bottom w:val="single" w:color="auto" w:sz="6" w:space="0"/>
            </w:tcBorders>
            <w:shd w:val="clear" w:color="auto" w:fill="auto"/>
          </w:tcPr>
          <w:p w14:paraId="3CE0FA44">
            <w:pPr>
              <w:spacing w:before="120" w:after="120"/>
            </w:pPr>
            <w:r>
              <w:rPr>
                <w:b/>
              </w:rPr>
              <w:t>Notifying Member:</w:t>
            </w:r>
            <w:r>
              <w:t xml:space="preserve"> </w:t>
            </w:r>
            <w:r>
              <w:rPr>
                <w:u w:val="single"/>
              </w:rPr>
              <w:t>THE SEPARATE CUSTOMS TERRITORY OF TAIWAN, PENGHU, KINMEN AND MATSU</w:t>
            </w:r>
          </w:p>
          <w:p w14:paraId="1DEDE636">
            <w:pPr>
              <w:spacing w:after="120"/>
            </w:pPr>
            <w:r>
              <w:rPr>
                <w:b/>
              </w:rPr>
              <w:t>If applicable, name of local government involved (Article 3.2 and 7.2):</w:t>
            </w:r>
            <w:r>
              <w:t xml:space="preserve"> </w:t>
            </w:r>
          </w:p>
        </w:tc>
      </w:tr>
      <w:tr w14:paraId="10EB2CD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99B0E8">
            <w:pPr>
              <w:spacing w:before="120" w:after="120"/>
              <w:jc w:val="left"/>
            </w:pPr>
            <w:r>
              <w:rPr>
                <w:b/>
              </w:rPr>
              <w:t>2.</w:t>
            </w:r>
          </w:p>
        </w:tc>
        <w:tc>
          <w:tcPr>
            <w:tcW w:w="8546" w:type="dxa"/>
            <w:tcBorders>
              <w:top w:val="single" w:color="auto" w:sz="6" w:space="0"/>
              <w:bottom w:val="single" w:color="auto" w:sz="6" w:space="0"/>
            </w:tcBorders>
            <w:shd w:val="clear" w:color="auto" w:fill="auto"/>
          </w:tcPr>
          <w:p w14:paraId="34248C79">
            <w:pPr>
              <w:spacing w:before="120" w:after="120"/>
            </w:pPr>
            <w:r>
              <w:rPr>
                <w:b/>
              </w:rPr>
              <w:t>Agency responsible:</w:t>
            </w:r>
            <w:r>
              <w:t xml:space="preserve"> </w:t>
            </w:r>
          </w:p>
          <w:p w14:paraId="60FE6EDC">
            <w:pPr>
              <w:spacing w:after="120"/>
            </w:pPr>
            <w:r>
              <w:t>Bureau of Standards, Metrology and Inspection</w:t>
            </w:r>
          </w:p>
          <w:p w14:paraId="38EA55D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5DFB2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923D58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EC34FF7">
            <w:pPr>
              <w:spacing w:before="120" w:after="120"/>
            </w:pPr>
            <w:r>
              <w:rPr>
                <w:b/>
              </w:rPr>
              <w:t>Notified under Article 2.9.2 [X], 2.10.1 [ ], 5.6.2 [X], 5.7.1 [ ], 3.2 [ ], 7.2 [ ], other:</w:t>
            </w:r>
            <w:r>
              <w:t xml:space="preserve"> </w:t>
            </w:r>
          </w:p>
        </w:tc>
      </w:tr>
      <w:tr w14:paraId="65ABC9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C4A8A4">
            <w:pPr>
              <w:spacing w:before="120" w:after="120"/>
              <w:jc w:val="left"/>
            </w:pPr>
            <w:r>
              <w:rPr>
                <w:b/>
              </w:rPr>
              <w:t>4.</w:t>
            </w:r>
          </w:p>
        </w:tc>
        <w:tc>
          <w:tcPr>
            <w:tcW w:w="8546" w:type="dxa"/>
            <w:tcBorders>
              <w:top w:val="single" w:color="auto" w:sz="6" w:space="0"/>
              <w:bottom w:val="single" w:color="auto" w:sz="6" w:space="0"/>
            </w:tcBorders>
            <w:shd w:val="clear" w:color="auto" w:fill="auto"/>
          </w:tcPr>
          <w:p w14:paraId="2086926B">
            <w:pPr>
              <w:spacing w:before="120" w:after="120"/>
            </w:pPr>
            <w:r>
              <w:rPr>
                <w:b/>
              </w:rPr>
              <w:t>Products covered (HS or CCCN where applicable, otherwise national tariff heading. ICS numbers may be provided in addition, where applicable):</w:t>
            </w:r>
            <w:r>
              <w:t xml:space="preserve"> Static converters (HS code(s): 850440)</w:t>
            </w:r>
          </w:p>
        </w:tc>
      </w:tr>
      <w:tr w14:paraId="3DF66C4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A639051">
            <w:pPr>
              <w:spacing w:before="120" w:after="120"/>
              <w:jc w:val="left"/>
            </w:pPr>
            <w:r>
              <w:rPr>
                <w:b/>
              </w:rPr>
              <w:t>5.</w:t>
            </w:r>
          </w:p>
        </w:tc>
        <w:tc>
          <w:tcPr>
            <w:tcW w:w="8546" w:type="dxa"/>
            <w:tcBorders>
              <w:top w:val="single" w:color="auto" w:sz="6" w:space="0"/>
              <w:bottom w:val="single" w:color="auto" w:sz="6" w:space="0"/>
            </w:tcBorders>
            <w:shd w:val="clear" w:color="auto" w:fill="auto"/>
          </w:tcPr>
          <w:p w14:paraId="7FD91DB7">
            <w:pPr>
              <w:spacing w:before="120" w:after="120"/>
            </w:pPr>
            <w:r>
              <w:rPr>
                <w:b/>
              </w:rPr>
              <w:t>Title, number of pages and language(s) of the notified document:</w:t>
            </w:r>
            <w:r>
              <w:t xml:space="preserve"> Proposal for Amendments to the Legal Inspection Requirements for Power Conversion System; (6 page(s), in English), (6 page(s), in Chinese)</w:t>
            </w:r>
          </w:p>
        </w:tc>
      </w:tr>
      <w:tr w14:paraId="3A58F9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1A41098">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E8585E7">
            <w:pPr>
              <w:spacing w:before="120" w:after="120"/>
            </w:pPr>
            <w:r>
              <w:rPr>
                <w:b/>
              </w:rPr>
              <w:t>Description of content:</w:t>
            </w:r>
            <w:r>
              <w:t xml:space="preserve"> To achieve net-zero carbon emissions by 2050, it is expected that renewable energy power generation equipment and energy storage systems will gradually be installed not only at outdoor sites but also in indoor households and factories. Considering that the Power Conversion System (PCS) is a critical component of energy storage systems, the BSMI proposes to expand PCS not exceeding 100 kW in the mandatory inspection scope to ensure consumer safety. Two alternative conformity assessment procedures are made available for the choice of applicants, i.e. Registration of Product Certification (RPC) or Type-Approved Batch Inspection (TABI).</w:t>
            </w:r>
          </w:p>
        </w:tc>
      </w:tr>
      <w:tr w14:paraId="11395A8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394F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155BCD0">
            <w:pPr>
              <w:spacing w:before="120" w:after="120"/>
              <w:rPr>
                <w:b/>
              </w:rPr>
            </w:pPr>
            <w:r>
              <w:rPr>
                <w:b/>
              </w:rPr>
              <w:t>Objective and rationale, including the nature of urgent problems where applicable:</w:t>
            </w:r>
            <w:r>
              <w:t xml:space="preserve"> Protection of human health or safety</w:t>
            </w:r>
          </w:p>
        </w:tc>
      </w:tr>
      <w:tr w14:paraId="656B062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53755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A90F4AC">
            <w:pPr>
              <w:spacing w:before="120" w:after="120"/>
              <w:rPr>
                <w:bCs/>
              </w:rPr>
            </w:pPr>
            <w:r>
              <w:rPr>
                <w:b/>
              </w:rPr>
              <w:t>Relevant documents:</w:t>
            </w:r>
            <w:r>
              <w:t xml:space="preserve"> </w:t>
            </w:r>
          </w:p>
          <w:p w14:paraId="2BA80C58">
            <w:pPr>
              <w:spacing w:before="120" w:after="120"/>
            </w:pPr>
            <w:r>
              <w:t>Government Gazette, Vol. 031, No. 135, dated 21 July 2025.</w:t>
            </w:r>
          </w:p>
          <w:p w14:paraId="18B81799">
            <w:pPr>
              <w:spacing w:before="120" w:after="120"/>
            </w:pPr>
            <w:r>
              <w:t>(</w:t>
            </w:r>
            <w:r>
              <w:fldChar w:fldCharType="begin"/>
            </w:r>
            <w:r>
              <w:instrText xml:space="preserve"> HYPERLINK "https://gazette.nat.gov.tw/egFront/e_detail.do?metaid=158793" \t "_blank" </w:instrText>
            </w:r>
            <w:r>
              <w:fldChar w:fldCharType="separate"/>
            </w:r>
            <w:r>
              <w:rPr>
                <w:color w:val="0000FF"/>
                <w:u w:val="single"/>
              </w:rPr>
              <w:t>https://gazette.nat.gov.tw/egFront/e_detail.do?metaid=158793</w:t>
            </w:r>
            <w:r>
              <w:rPr>
                <w:color w:val="0000FF"/>
                <w:u w:val="single"/>
              </w:rPr>
              <w:fldChar w:fldCharType="end"/>
            </w:r>
            <w:r>
              <w:t>)</w:t>
            </w:r>
          </w:p>
          <w:p w14:paraId="4A64CFFE">
            <w:pPr>
              <w:spacing w:before="120" w:after="120"/>
            </w:pPr>
            <w:r>
              <w:rPr>
                <w:b/>
                <w:bCs/>
              </w:rPr>
              <w:t>Relevant notifications:</w:t>
            </w:r>
          </w:p>
          <w:p w14:paraId="4E4B75E1">
            <w:pPr>
              <w:numPr>
                <w:ilvl w:val="0"/>
                <w:numId w:val="7"/>
              </w:numPr>
              <w:spacing w:before="120" w:after="120"/>
            </w:pPr>
            <w:r>
              <w:fldChar w:fldCharType="begin"/>
            </w:r>
            <w:r>
              <w:instrText xml:space="preserve"> HYPERLINK "https://eping.wto.org/en/Search/Index?viewData=G/TBT/N/TPKM/564" </w:instrText>
            </w:r>
            <w:r>
              <w:fldChar w:fldCharType="separate"/>
            </w:r>
            <w:r>
              <w:rPr>
                <w:color w:val="0000FF"/>
                <w:u w:val="single"/>
              </w:rPr>
              <w:t>G/TBT/N/TPKM/564</w:t>
            </w:r>
            <w:r>
              <w:rPr>
                <w:color w:val="0000FF"/>
                <w:u w:val="single"/>
              </w:rPr>
              <w:fldChar w:fldCharType="end"/>
            </w:r>
          </w:p>
          <w:p w14:paraId="54AB6A8F">
            <w:pPr>
              <w:numPr>
                <w:ilvl w:val="0"/>
                <w:numId w:val="7"/>
              </w:numPr>
              <w:spacing w:before="120" w:after="120"/>
              <w:ind w:left="720" w:leftChars="0" w:hanging="360" w:firstLineChars="0"/>
            </w:pPr>
            <w:r>
              <w:fldChar w:fldCharType="begin"/>
            </w:r>
            <w:r>
              <w:instrText xml:space="preserve"> HYPERLINK "https://eping.wto.org/en/Search/Index?viewData=G/TBT/N/TPKM/546" </w:instrText>
            </w:r>
            <w:r>
              <w:fldChar w:fldCharType="separate"/>
            </w:r>
            <w:r>
              <w:rPr>
                <w:color w:val="0000FF"/>
                <w:u w:val="single"/>
              </w:rPr>
              <w:t>G/TBT/N/TPKM/546</w:t>
            </w:r>
            <w:r>
              <w:rPr>
                <w:color w:val="0000FF"/>
                <w:u w:val="single"/>
              </w:rPr>
              <w:fldChar w:fldCharType="end"/>
            </w:r>
          </w:p>
        </w:tc>
      </w:tr>
      <w:tr w14:paraId="0C4798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55D6FE1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44CE84A">
            <w:pPr>
              <w:spacing w:before="120" w:after="120"/>
            </w:pPr>
            <w:r>
              <w:rPr>
                <w:b/>
              </w:rPr>
              <w:t>Proposed date of adoption:</w:t>
            </w:r>
            <w:r>
              <w:t xml:space="preserve"> To be determined</w:t>
            </w:r>
          </w:p>
          <w:p w14:paraId="68C37D12">
            <w:pPr>
              <w:spacing w:after="120"/>
            </w:pPr>
            <w:r>
              <w:rPr>
                <w:b/>
              </w:rPr>
              <w:t>Proposed date of entry into force:</w:t>
            </w:r>
            <w:r>
              <w:t xml:space="preserve"> </w:t>
            </w:r>
          </w:p>
          <w:p w14:paraId="3C4564F6">
            <w:pPr>
              <w:spacing w:after="120"/>
            </w:pPr>
            <w:r>
              <w:t>1 July 2026</w:t>
            </w:r>
            <w:r>
              <w:rPr>
                <w:rFonts w:ascii="MS Mincho" w:hAnsi="MS Mincho" w:eastAsia="MS Mincho" w:cs="MS Mincho"/>
              </w:rPr>
              <w:t>（</w:t>
            </w:r>
            <w:r>
              <w:t>inspection scope: no more than 20 kW</w:t>
            </w:r>
            <w:r>
              <w:rPr>
                <w:rFonts w:ascii="MS Mincho" w:hAnsi="MS Mincho" w:eastAsia="MS Mincho" w:cs="MS Mincho"/>
              </w:rPr>
              <w:t>）</w:t>
            </w:r>
          </w:p>
          <w:p w14:paraId="0C9F2A02">
            <w:pPr>
              <w:spacing w:after="120"/>
            </w:pPr>
            <w:r>
              <w:t>1 July 2027</w:t>
            </w:r>
            <w:r>
              <w:rPr>
                <w:rFonts w:ascii="MS Mincho" w:hAnsi="MS Mincho" w:eastAsia="MS Mincho" w:cs="MS Mincho"/>
              </w:rPr>
              <w:t>（</w:t>
            </w:r>
            <w:r>
              <w:t>inspection scope: over 20 kW and not xeceeding 100 kW</w:t>
            </w:r>
            <w:r>
              <w:rPr>
                <w:rFonts w:ascii="MS Mincho" w:hAnsi="MS Mincho" w:eastAsia="MS Mincho" w:cs="MS Mincho"/>
              </w:rPr>
              <w:t>）</w:t>
            </w:r>
          </w:p>
        </w:tc>
      </w:tr>
      <w:tr w14:paraId="5B9076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AA84CF">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68F4D57">
            <w:pPr>
              <w:spacing w:before="120" w:after="120"/>
              <w:rPr>
                <w:rFonts w:hint="eastAsia" w:eastAsia="宋体"/>
                <w:bCs/>
                <w:lang w:eastAsia="zh-CN"/>
              </w:rPr>
            </w:pPr>
            <w:r>
              <w:rPr>
                <w:b/>
              </w:rPr>
              <w:t>Final date for comments:</w:t>
            </w:r>
            <w:r>
              <w:t xml:space="preserve"> 22 September 2025</w:t>
            </w:r>
            <w:r>
              <w:rPr>
                <w:rFonts w:hint="eastAsia" w:eastAsia="宋体"/>
                <w:lang w:eastAsia="zh-CN"/>
              </w:rPr>
              <w:t>，</w:t>
            </w:r>
          </w:p>
          <w:p w14:paraId="6F2C4237">
            <w:pPr>
              <w:tabs>
                <w:tab w:val="left" w:pos="1418"/>
                <w:tab w:val="left" w:pos="2127"/>
                <w:tab w:val="left" w:pos="2835"/>
                <w:tab w:val="left" w:pos="3402"/>
              </w:tabs>
              <w:spacing w:before="120" w:after="120"/>
            </w:pPr>
            <w:r>
              <w:rPr>
                <w:b/>
                <w:bCs/>
              </w:rPr>
              <w:t>[X] 60 days from notification</w:t>
            </w:r>
            <w:r>
              <w:t xml:space="preserve"> </w:t>
            </w:r>
          </w:p>
          <w:p w14:paraId="67CA316A">
            <w:pPr>
              <w:spacing w:before="120" w:after="120"/>
            </w:pPr>
            <w:r>
              <w:rPr>
                <w:b/>
                <w:bCs/>
              </w:rPr>
              <w:t>Contact details of agency or authority designated to handle comments regarding the notification:</w:t>
            </w:r>
            <w:r>
              <w:t xml:space="preserve"> </w:t>
            </w:r>
          </w:p>
          <w:p w14:paraId="52D68F44">
            <w:r>
              <w:t>WTO TBT Enquiry Point</w:t>
            </w:r>
          </w:p>
          <w:p w14:paraId="0C4302CA">
            <w:r>
              <w:t>Bureau of Standards, Metrology and Inspection</w:t>
            </w:r>
          </w:p>
          <w:p w14:paraId="01CEC61F">
            <w:r>
              <w:t>Ministry of Economic Affairs</w:t>
            </w:r>
          </w:p>
          <w:p w14:paraId="7493325B">
            <w:r>
              <w:t>No. 4, Sec. 1, Jinan Rd., Zhongzheng Dist.</w:t>
            </w:r>
          </w:p>
          <w:p w14:paraId="4DFFB583">
            <w:r>
              <w:t>Taipei City 100, Taiwan</w:t>
            </w:r>
          </w:p>
          <w:p w14:paraId="65E33515">
            <w:r>
              <w:t>Tel: +(886-2) 23431700#1566</w:t>
            </w:r>
          </w:p>
          <w:p w14:paraId="5878664E">
            <w:r>
              <w:t>Fax: +(886-2) 23431804</w:t>
            </w:r>
          </w:p>
          <w:p w14:paraId="13257765">
            <w:pPr>
              <w:tabs>
                <w:tab w:val="left" w:pos="1418"/>
                <w:tab w:val="left" w:pos="2127"/>
                <w:tab w:val="left" w:pos="2835"/>
                <w:tab w:val="left" w:pos="3402"/>
              </w:tabs>
              <w:spacing w:before="120" w:after="120"/>
            </w:pPr>
            <w:r>
              <w:t xml:space="preserve">Email: </w:t>
            </w:r>
            <w:r>
              <w:fldChar w:fldCharType="begin"/>
            </w:r>
            <w:r>
              <w:instrText xml:space="preserve"> HYPERLINK "mailto:tbtenq@bsmi.gov.tw" </w:instrText>
            </w:r>
            <w:r>
              <w:fldChar w:fldCharType="separate"/>
            </w:r>
            <w:r>
              <w:rPr>
                <w:color w:val="0000FF"/>
                <w:u w:val="single"/>
              </w:rPr>
              <w:t>tbtenq@bsmi.gov.tw</w:t>
            </w:r>
            <w:r>
              <w:rPr>
                <w:color w:val="0000FF"/>
                <w:u w:val="single"/>
              </w:rPr>
              <w:fldChar w:fldCharType="end"/>
            </w:r>
          </w:p>
        </w:tc>
      </w:tr>
      <w:tr w14:paraId="3C0D03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0289890">
            <w:pPr>
              <w:keepNext/>
              <w:keepLines/>
              <w:spacing w:before="120" w:after="120"/>
              <w:jc w:val="left"/>
              <w:rPr>
                <w:b/>
              </w:rPr>
            </w:pPr>
            <w:r>
              <w:rPr>
                <w:b/>
              </w:rPr>
              <w:t>11.</w:t>
            </w:r>
          </w:p>
        </w:tc>
        <w:tc>
          <w:tcPr>
            <w:tcW w:w="8546" w:type="dxa"/>
            <w:tcBorders>
              <w:top w:val="single" w:color="auto" w:sz="6" w:space="0"/>
            </w:tcBorders>
            <w:shd w:val="clear" w:color="auto" w:fill="auto"/>
          </w:tcPr>
          <w:p w14:paraId="11A6836F">
            <w:pPr>
              <w:keepNext/>
              <w:keepLines/>
              <w:spacing w:before="120" w:after="120"/>
              <w:rPr>
                <w:bCs/>
              </w:rPr>
            </w:pPr>
            <w:r>
              <w:rPr>
                <w:b/>
              </w:rPr>
              <w:t>Texts available from: National enquiry point [X] or address, telephone and fax numbers and email and website addresses, if available, of other body:</w:t>
            </w:r>
            <w:r>
              <w:rPr>
                <w:bCs/>
              </w:rPr>
              <w:t xml:space="preserve"> </w:t>
            </w:r>
            <w:bookmarkStart w:id="10" w:name="_GoBack"/>
            <w:bookmarkEnd w:id="10"/>
          </w:p>
          <w:p w14:paraId="1D009D72">
            <w:pPr>
              <w:rPr>
                <w:iCs/>
              </w:rPr>
            </w:pPr>
            <w:r>
              <w:rPr>
                <w:iCs/>
              </w:rPr>
              <w:t xml:space="preserve">WTO TBT Enquiry Point, Email: </w:t>
            </w:r>
            <w:r>
              <w:fldChar w:fldCharType="begin"/>
            </w:r>
            <w:r>
              <w:instrText xml:space="preserve"> HYPERLINK "mailto:tbtenq@bsmi.gov.tw" </w:instrText>
            </w:r>
            <w:r>
              <w:fldChar w:fldCharType="separate"/>
            </w:r>
            <w:r>
              <w:rPr>
                <w:iCs/>
                <w:color w:val="0000FF"/>
                <w:u w:val="single"/>
              </w:rPr>
              <w:t>tbtenq@bsmi.gov.tw</w:t>
            </w:r>
            <w:r>
              <w:rPr>
                <w:iCs/>
                <w:color w:val="0000FF"/>
                <w:u w:val="single"/>
              </w:rPr>
              <w:fldChar w:fldCharType="end"/>
            </w:r>
          </w:p>
          <w:p w14:paraId="44E5A9D2">
            <w:pPr>
              <w:pBdr>
                <w:top w:val="none" w:color="auto" w:sz="0" w:space="4"/>
              </w:pBdr>
              <w:rPr>
                <w:iCs/>
              </w:rPr>
            </w:pPr>
            <w:r>
              <w:fldChar w:fldCharType="begin"/>
            </w:r>
            <w:r>
              <w:instrText xml:space="preserve"> HYPERLINK "https://members.wto.org/crnattachments/2025/TBT/TPKM/25_04802_00_e.pdf" \t "_blank" </w:instrText>
            </w:r>
            <w:r>
              <w:fldChar w:fldCharType="separate"/>
            </w:r>
            <w:r>
              <w:rPr>
                <w:iCs/>
                <w:color w:val="0000FF"/>
                <w:u w:val="single"/>
              </w:rPr>
              <w:t>https://members.wto.org/crnattachments/2025/TBT/TPKM/25_04802_00_e.pdf</w:t>
            </w:r>
            <w:r>
              <w:rPr>
                <w:iCs/>
                <w:color w:val="0000FF"/>
                <w:u w:val="single"/>
              </w:rPr>
              <w:fldChar w:fldCharType="end"/>
            </w:r>
          </w:p>
          <w:p w14:paraId="39B0AC7D">
            <w:pPr>
              <w:pBdr>
                <w:bottom w:val="none" w:color="auto" w:sz="0" w:space="4"/>
              </w:pBdr>
              <w:rPr>
                <w:iCs/>
              </w:rPr>
            </w:pPr>
            <w:r>
              <w:fldChar w:fldCharType="begin"/>
            </w:r>
            <w:r>
              <w:instrText xml:space="preserve"> HYPERLINK "https://members.wto.org/crnattachments/2025/TBT/TPKM/25_04802_00_x.pdf" \t "_blank" </w:instrText>
            </w:r>
            <w:r>
              <w:fldChar w:fldCharType="separate"/>
            </w:r>
            <w:r>
              <w:rPr>
                <w:iCs/>
                <w:color w:val="0000FF"/>
                <w:u w:val="single"/>
              </w:rPr>
              <w:t>https://members.wto.org/crnattachments/2025/TBT/TPKM/25_04802_00_x.pdf</w:t>
            </w:r>
            <w:r>
              <w:rPr>
                <w:iCs/>
                <w:color w:val="0000FF"/>
                <w:u w:val="single"/>
              </w:rPr>
              <w:fldChar w:fldCharType="end"/>
            </w:r>
          </w:p>
          <w:p w14:paraId="6FAE9A72">
            <w:pPr>
              <w:keepNext/>
              <w:keepLines/>
              <w:spacing w:after="120"/>
              <w:rPr>
                <w:bCs/>
              </w:rPr>
            </w:pPr>
          </w:p>
        </w:tc>
      </w:tr>
    </w:tbl>
    <w:p w14:paraId="5E76404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47EB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C289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BFB8">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53AFE">
    <w:pPr>
      <w:pStyle w:val="58"/>
      <w:pBdr>
        <w:bottom w:val="single" w:color="auto" w:sz="4" w:space="1"/>
      </w:pBdr>
      <w:tabs>
        <w:tab w:val="clear" w:pos="4513"/>
        <w:tab w:val="clear" w:pos="9027"/>
      </w:tabs>
      <w:jc w:val="center"/>
    </w:pPr>
    <w:bookmarkStart w:id="9" w:name="spsSymbolHeader"/>
    <w:r>
      <w:t>G/TBT/N/TPKM/562</w:t>
    </w:r>
    <w:bookmarkEnd w:id="9"/>
  </w:p>
  <w:p w14:paraId="60551EE1">
    <w:pPr>
      <w:pStyle w:val="58"/>
      <w:pBdr>
        <w:bottom w:val="single" w:color="auto" w:sz="4" w:space="1"/>
      </w:pBdr>
      <w:tabs>
        <w:tab w:val="clear" w:pos="4513"/>
        <w:tab w:val="clear" w:pos="9027"/>
      </w:tabs>
      <w:jc w:val="center"/>
    </w:pPr>
  </w:p>
  <w:p w14:paraId="3C8E7A3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0F2D5E9">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E08F6">
    <w:pPr>
      <w:pStyle w:val="58"/>
      <w:pBdr>
        <w:bottom w:val="single" w:color="auto" w:sz="4" w:space="1"/>
      </w:pBdr>
      <w:tabs>
        <w:tab w:val="clear" w:pos="4513"/>
        <w:tab w:val="clear" w:pos="9027"/>
      </w:tabs>
      <w:jc w:val="center"/>
    </w:pPr>
    <w:r>
      <w:t>tbtSymbol</w:t>
    </w:r>
  </w:p>
  <w:p w14:paraId="686AA9C5">
    <w:pPr>
      <w:pStyle w:val="58"/>
      <w:pBdr>
        <w:bottom w:val="single" w:color="auto" w:sz="4" w:space="1"/>
      </w:pBdr>
      <w:tabs>
        <w:tab w:val="clear" w:pos="4513"/>
        <w:tab w:val="clear" w:pos="9027"/>
      </w:tabs>
      <w:jc w:val="center"/>
    </w:pPr>
  </w:p>
  <w:p w14:paraId="5EFFD3B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690113">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4178C9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9AB4CDC">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0BB0436E">
          <w:pPr>
            <w:jc w:val="right"/>
            <w:rPr>
              <w:b/>
              <w:color w:val="FF0000"/>
              <w:szCs w:val="16"/>
            </w:rPr>
          </w:pPr>
        </w:p>
      </w:tc>
    </w:tr>
    <w:bookmarkEnd w:id="0"/>
    <w:tr w14:paraId="686C0C6A">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678FDC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AABB5D9">
          <w:pPr>
            <w:jc w:val="right"/>
            <w:rPr>
              <w:b/>
              <w:szCs w:val="16"/>
            </w:rPr>
          </w:pPr>
        </w:p>
      </w:tc>
    </w:tr>
    <w:tr w14:paraId="342FB5D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4251C65">
          <w:pPr>
            <w:jc w:val="left"/>
            <w:rPr>
              <w:lang w:eastAsia="en-GB"/>
            </w:rPr>
          </w:pPr>
        </w:p>
      </w:tc>
      <w:tc>
        <w:tcPr>
          <w:tcW w:w="5448" w:type="dxa"/>
          <w:gridSpan w:val="2"/>
          <w:shd w:val="clear" w:color="auto" w:fill="FFFFFF"/>
          <w:tcMar>
            <w:left w:w="108" w:type="dxa"/>
            <w:right w:w="108" w:type="dxa"/>
          </w:tcMar>
        </w:tcPr>
        <w:p w14:paraId="6EBF1905">
          <w:pPr>
            <w:jc w:val="right"/>
            <w:rPr>
              <w:rFonts w:hint="eastAsia" w:eastAsia="宋体"/>
              <w:b/>
              <w:szCs w:val="16"/>
              <w:lang w:eastAsia="zh-CN"/>
            </w:rPr>
          </w:pPr>
          <w:bookmarkStart w:id="1" w:name="bmkSymbols"/>
          <w:r>
            <w:rPr>
              <w:b/>
              <w:szCs w:val="16"/>
            </w:rPr>
            <w:t>G/TBT/N/TPKM/56</w:t>
          </w:r>
          <w:bookmarkEnd w:id="1"/>
          <w:r>
            <w:rPr>
              <w:rFonts w:hint="eastAsia" w:eastAsia="宋体"/>
              <w:b/>
              <w:szCs w:val="16"/>
              <w:lang w:val="en-US" w:eastAsia="zh-CN"/>
            </w:rPr>
            <w:t>5</w:t>
          </w:r>
        </w:p>
      </w:tc>
    </w:tr>
    <w:tr w14:paraId="1AEB623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560285D"/>
      </w:tc>
      <w:tc>
        <w:tcPr>
          <w:tcW w:w="5448" w:type="dxa"/>
          <w:gridSpan w:val="2"/>
          <w:shd w:val="clear" w:color="auto" w:fill="FFFFFF"/>
          <w:tcMar>
            <w:left w:w="108" w:type="dxa"/>
            <w:right w:w="108" w:type="dxa"/>
          </w:tcMar>
          <w:vAlign w:val="center"/>
        </w:tcPr>
        <w:p w14:paraId="74F94C27">
          <w:pPr>
            <w:jc w:val="right"/>
            <w:rPr>
              <w:szCs w:val="16"/>
            </w:rPr>
          </w:pPr>
          <w:bookmarkStart w:id="2" w:name="bmkDate"/>
          <w:bookmarkStart w:id="3" w:name="spsDateDistribution"/>
          <w:r>
            <w:rPr>
              <w:szCs w:val="16"/>
            </w:rPr>
            <w:t>24 July 2025</w:t>
          </w:r>
          <w:bookmarkEnd w:id="2"/>
          <w:bookmarkEnd w:id="3"/>
        </w:p>
      </w:tc>
    </w:tr>
    <w:tr w14:paraId="7E20524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324918E">
          <w:pPr>
            <w:jc w:val="left"/>
            <w:rPr>
              <w:b/>
            </w:rPr>
          </w:pPr>
          <w:bookmarkStart w:id="4" w:name="bmkSerial"/>
          <w:r>
            <w:rPr>
              <w:b w:val="0"/>
              <w:color w:val="FF0000"/>
            </w:rPr>
            <w:t>(25-</w:t>
          </w:r>
          <w:r>
            <w:rPr>
              <w:rFonts w:hint="eastAsia" w:eastAsia="宋体"/>
              <w:b w:val="0"/>
              <w:color w:val="FF0000"/>
              <w:lang w:val="en-US" w:eastAsia="zh-CN"/>
            </w:rPr>
            <w:t>4748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CF0D4C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387F2CB">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901422A">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0540D1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17A26C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42EBA"/>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0FB3"/>
    <w:rsid w:val="00682D50"/>
    <w:rsid w:val="006845EE"/>
    <w:rsid w:val="0069259F"/>
    <w:rsid w:val="00696B74"/>
    <w:rsid w:val="006A72C8"/>
    <w:rsid w:val="006D5528"/>
    <w:rsid w:val="006D6F16"/>
    <w:rsid w:val="006E4336"/>
    <w:rsid w:val="006E6A4E"/>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1BC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3333A"/>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46D00696"/>
    <w:rsid w:val="7EE75E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uiPriority="99" w:name="index 8"/>
    <w:lsdException w:qFormat="1"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qFormat="1"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qFormat="1" w:uiPriority="99" w:name="Table List 1"/>
    <w:lsdException w:uiPriority="99" w:name="Table List 2"/>
    <w:lsdException w:uiPriority="99" w:name="Table List 3"/>
    <w:lsdException w:qFormat="1" w:uiPriority="99" w:name="Table List 4"/>
    <w:lsdException w:qFormat="1" w:uiPriority="99" w:name="Table List 5"/>
    <w:lsdException w:qFormat="1" w:uiPriority="99" w:name="Table List 6"/>
    <w:lsdException w:uiPriority="99" w:name="Table List 7"/>
    <w:lsdException w:qFormat="1" w:uiPriority="99" w:name="Table List 8"/>
    <w:lsdException w:uiPriority="99" w:name="Table 3D effects 1"/>
    <w:lsdException w:uiPriority="99" w:name="Table 3D effects 2"/>
    <w:lsdException w:uiPriority="99" w:name="Table 3D effects 3"/>
    <w:lsdException w:qFormat="1"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7E5C5D8-4205-481E-8E07-06C5D6391D33}">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477</Words>
  <Characters>3053</Characters>
  <Lines>75</Lines>
  <Paragraphs>42</Paragraphs>
  <TotalTime>0</TotalTime>
  <ScaleCrop>false</ScaleCrop>
  <LinksUpToDate>false</LinksUpToDate>
  <CharactersWithSpaces>3485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2025-06-17T12:25:00Z</dcterms:created>
  <dc:description>LDIMD - DTU</dc:description>
  <dcterms:modified xsi:type="dcterms:W3CDTF">2025-07-24T15:59:33Z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C33F068B3E164948880935F9E8D56259_12</vt:lpwstr>
  </property>
</Properties>
</file>