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D8E07">
      <w:pPr>
        <w:pStyle w:val="84"/>
        <w:rPr>
          <w:caps w:val="0"/>
          <w:kern w:val="0"/>
        </w:rPr>
      </w:pPr>
      <w:r>
        <w:rPr>
          <w:caps w:val="0"/>
          <w:kern w:val="0"/>
        </w:rPr>
        <w:t>NOTIFICATION</w:t>
      </w:r>
    </w:p>
    <w:p w14:paraId="2FFE563F">
      <w:pPr>
        <w:jc w:val="center"/>
      </w:pPr>
      <w:r>
        <w:t>The following notification is being circulated in accordance with Article 10.6</w:t>
      </w:r>
    </w:p>
    <w:p w14:paraId="4B3F6F1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8960C5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B960578">
            <w:pPr>
              <w:spacing w:before="120" w:after="120"/>
              <w:jc w:val="left"/>
            </w:pPr>
            <w:r>
              <w:rPr>
                <w:b/>
              </w:rPr>
              <w:t>1.</w:t>
            </w:r>
          </w:p>
        </w:tc>
        <w:tc>
          <w:tcPr>
            <w:tcW w:w="8546" w:type="dxa"/>
            <w:tcBorders>
              <w:bottom w:val="single" w:color="auto" w:sz="6" w:space="0"/>
            </w:tcBorders>
            <w:shd w:val="clear" w:color="auto" w:fill="auto"/>
          </w:tcPr>
          <w:p w14:paraId="255CC24F">
            <w:pPr>
              <w:spacing w:before="120" w:after="120"/>
            </w:pPr>
            <w:r>
              <w:rPr>
                <w:b/>
              </w:rPr>
              <w:t>Notifying Member:</w:t>
            </w:r>
            <w:r>
              <w:t xml:space="preserve"> </w:t>
            </w:r>
            <w:r>
              <w:rPr>
                <w:u w:val="single"/>
              </w:rPr>
              <w:t>THAILAND</w:t>
            </w:r>
          </w:p>
          <w:p w14:paraId="729711E2">
            <w:pPr>
              <w:spacing w:after="120"/>
            </w:pPr>
            <w:r>
              <w:rPr>
                <w:b/>
              </w:rPr>
              <w:t>If applicable, name of local government involved (Article 3.2 and 7.2):</w:t>
            </w:r>
            <w:r>
              <w:t xml:space="preserve"> </w:t>
            </w:r>
          </w:p>
        </w:tc>
      </w:tr>
      <w:tr w14:paraId="6E9086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64BF46">
            <w:pPr>
              <w:spacing w:before="120" w:after="120"/>
              <w:jc w:val="left"/>
            </w:pPr>
            <w:r>
              <w:rPr>
                <w:b/>
              </w:rPr>
              <w:t>2.</w:t>
            </w:r>
          </w:p>
        </w:tc>
        <w:tc>
          <w:tcPr>
            <w:tcW w:w="8546" w:type="dxa"/>
            <w:tcBorders>
              <w:top w:val="single" w:color="auto" w:sz="6" w:space="0"/>
              <w:bottom w:val="single" w:color="auto" w:sz="6" w:space="0"/>
            </w:tcBorders>
            <w:shd w:val="clear" w:color="auto" w:fill="auto"/>
          </w:tcPr>
          <w:p w14:paraId="770AAD74">
            <w:pPr>
              <w:spacing w:before="120" w:after="120"/>
            </w:pPr>
            <w:r>
              <w:rPr>
                <w:b/>
              </w:rPr>
              <w:t>Agency responsible:</w:t>
            </w:r>
            <w:r>
              <w:t xml:space="preserve"> </w:t>
            </w:r>
          </w:p>
          <w:p w14:paraId="2CE1C3B1">
            <w:pPr>
              <w:spacing w:after="120"/>
            </w:pPr>
            <w:r>
              <w:t>The Office of Food and Drug Administration (Thai FDA)</w:t>
            </w:r>
          </w:p>
          <w:p w14:paraId="0A6C0F3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B7BB4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72743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E21CE7">
            <w:pPr>
              <w:spacing w:before="120" w:after="120"/>
            </w:pPr>
            <w:r>
              <w:rPr>
                <w:b/>
              </w:rPr>
              <w:t>Notified under Article 2.9.2 [X], 2.10.1 [ ], 5.6.2 [ ], 5.7.1 [ ], 3.2 [ ], 7.2 [ ], other:</w:t>
            </w:r>
            <w:r>
              <w:t xml:space="preserve"> </w:t>
            </w:r>
          </w:p>
        </w:tc>
      </w:tr>
      <w:tr w14:paraId="0473AF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71E76">
            <w:pPr>
              <w:spacing w:before="120" w:after="120"/>
              <w:jc w:val="left"/>
            </w:pPr>
            <w:r>
              <w:rPr>
                <w:b/>
              </w:rPr>
              <w:t>4.</w:t>
            </w:r>
          </w:p>
        </w:tc>
        <w:tc>
          <w:tcPr>
            <w:tcW w:w="8546" w:type="dxa"/>
            <w:tcBorders>
              <w:top w:val="single" w:color="auto" w:sz="6" w:space="0"/>
              <w:bottom w:val="single" w:color="auto" w:sz="6" w:space="0"/>
            </w:tcBorders>
            <w:shd w:val="clear" w:color="auto" w:fill="auto"/>
          </w:tcPr>
          <w:p w14:paraId="78E8578D">
            <w:pPr>
              <w:spacing w:before="120" w:after="120"/>
            </w:pPr>
            <w:r>
              <w:rPr>
                <w:b/>
              </w:rPr>
              <w:t>Products covered (HS or CCCN where applicable, otherwise national tariff heading. ICS numbers may be provided in addition, where applicable):</w:t>
            </w:r>
            <w:r>
              <w:t xml:space="preserve"> Food in a Hermetically Sealed Container (ICS code: 67.020)</w:t>
            </w:r>
          </w:p>
        </w:tc>
      </w:tr>
      <w:tr w14:paraId="71E3F85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51C49D8">
            <w:pPr>
              <w:spacing w:before="120" w:after="120"/>
              <w:jc w:val="left"/>
            </w:pPr>
            <w:r>
              <w:rPr>
                <w:b/>
              </w:rPr>
              <w:t>5.</w:t>
            </w:r>
          </w:p>
        </w:tc>
        <w:tc>
          <w:tcPr>
            <w:tcW w:w="8546" w:type="dxa"/>
            <w:tcBorders>
              <w:top w:val="single" w:color="auto" w:sz="6" w:space="0"/>
              <w:bottom w:val="single" w:color="auto" w:sz="6" w:space="0"/>
            </w:tcBorders>
            <w:shd w:val="clear" w:color="auto" w:fill="auto"/>
          </w:tcPr>
          <w:p w14:paraId="25B8EEB4">
            <w:pPr>
              <w:spacing w:before="120" w:after="120"/>
            </w:pPr>
            <w:r>
              <w:rPr>
                <w:b/>
              </w:rPr>
              <w:t>Title, number of pages and language(s) of the notified document:</w:t>
            </w:r>
            <w:r>
              <w:t xml:space="preserve"> Draft Ministry of Public Health Notification (MOPH), No. ... B.E ….. issued by virtue of the Food Act B.E. 2522 entitled "Food in a Hermetically Sealed Container"; (3 page(s), in English), (-2 page(s), in Thai)</w:t>
            </w:r>
          </w:p>
        </w:tc>
      </w:tr>
      <w:tr w14:paraId="052B66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51BAECAF">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048AFAE">
            <w:pPr>
              <w:spacing w:before="120" w:after="120"/>
              <w:rPr>
                <w:b/>
              </w:rPr>
            </w:pPr>
            <w:r>
              <w:rPr>
                <w:b/>
              </w:rPr>
              <w:t>Description of content:</w:t>
            </w:r>
            <w:r>
              <w:t xml:space="preserve"> For consumer protection, the Ministry of Public Health (MOPH) is proposing to revise the MOPH Notification Food in a Hermetically Sealed Container to modernize the regulatory framework for food in sealed containers in line with current scientific knowledge, technological advancements, and food safety standards.</w:t>
            </w:r>
          </w:p>
          <w:p w14:paraId="00280D89">
            <w:pPr>
              <w:spacing w:before="120" w:after="120"/>
            </w:pPr>
            <w:r>
              <w:t>The main elements of the draft MOPH notification are as follows:</w:t>
            </w:r>
          </w:p>
          <w:p w14:paraId="786CFA95">
            <w:pPr>
              <w:spacing w:before="120" w:after="120"/>
            </w:pPr>
            <w:r>
              <w:t>1. Revocation of the Previous Notification (Notification No. 355 B.E. 2556 on "Food in a Sealed Container." (Clause 1))</w:t>
            </w:r>
          </w:p>
          <w:p w14:paraId="46CC5BC1">
            <w:pPr>
              <w:spacing w:before="120" w:after="120"/>
            </w:pPr>
            <w:r>
              <w:t>2. Revised Definition and Criteria for Foods in Sealed Containers by emphasizing water activity values and sterilization methods (Clause 3) and food types are categorized into low-acid foods and acidified/acid foods, with specific pH thresholds and additional quality criteria (Clauses 5–6)</w:t>
            </w:r>
          </w:p>
          <w:p w14:paraId="443D8027">
            <w:pPr>
              <w:spacing w:before="120" w:after="120"/>
            </w:pPr>
            <w:r>
              <w:t>3. Updated Labelling Requirements by drain weight must be declared on the label for foods where the solid portion can be separated from the liquid. (Clause 11)</w:t>
            </w:r>
          </w:p>
          <w:p w14:paraId="747EEFB2">
            <w:pPr>
              <w:spacing w:before="120" w:after="120"/>
              <w:rPr>
                <w:b/>
              </w:rPr>
            </w:pPr>
            <w:r>
              <w:t>4. This MOPH Notification shall come into force after the date of its publication in the Government Gazette.</w:t>
            </w:r>
          </w:p>
        </w:tc>
      </w:tr>
      <w:tr w14:paraId="082AA7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D0E50A9">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939597B">
            <w:pPr>
              <w:spacing w:before="120" w:after="120"/>
              <w:rPr>
                <w:b/>
              </w:rPr>
            </w:pPr>
            <w:r>
              <w:rPr>
                <w:b/>
              </w:rPr>
              <w:t>Objective and rationale, including the nature of urgent problems where applicable:</w:t>
            </w:r>
            <w:r>
              <w:t xml:space="preserve"> Protection of human health or safety</w:t>
            </w:r>
          </w:p>
        </w:tc>
      </w:tr>
      <w:tr w14:paraId="79B23D4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770DDC3">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57F7283">
            <w:pPr>
              <w:spacing w:before="120" w:after="120"/>
              <w:rPr>
                <w:b/>
              </w:rPr>
            </w:pPr>
            <w:r>
              <w:rPr>
                <w:b/>
              </w:rPr>
              <w:t>Relevant documents:</w:t>
            </w:r>
            <w:r>
              <w:t xml:space="preserve"> -</w:t>
            </w:r>
          </w:p>
        </w:tc>
      </w:tr>
      <w:tr w14:paraId="513DCDF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5E5BD56">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2FB3707">
            <w:pPr>
              <w:spacing w:before="120" w:after="120"/>
            </w:pPr>
            <w:r>
              <w:rPr>
                <w:b/>
              </w:rPr>
              <w:t>Proposed date of adoption:</w:t>
            </w:r>
            <w:r>
              <w:t xml:space="preserve"> To be determined</w:t>
            </w:r>
          </w:p>
          <w:p w14:paraId="0AD86927">
            <w:pPr>
              <w:spacing w:after="120"/>
            </w:pPr>
            <w:r>
              <w:rPr>
                <w:b/>
              </w:rPr>
              <w:t>Proposed date of entry into force:</w:t>
            </w:r>
            <w:r>
              <w:t xml:space="preserve"> After the date of its publication in the Government Gazette.</w:t>
            </w:r>
          </w:p>
        </w:tc>
      </w:tr>
      <w:tr w14:paraId="7F29E2A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14102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BBD105F">
            <w:pPr>
              <w:spacing w:before="120" w:after="120"/>
              <w:rPr>
                <w:rFonts w:hint="eastAsia" w:eastAsia="宋体"/>
                <w:lang w:eastAsia="zh-CN"/>
              </w:rPr>
            </w:pPr>
            <w:r>
              <w:rPr>
                <w:b/>
              </w:rPr>
              <w:t>Final date for comments:</w:t>
            </w:r>
            <w:r>
              <w:t xml:space="preserve"> 22 September 2025</w:t>
            </w:r>
            <w:r>
              <w:rPr>
                <w:rFonts w:hint="eastAsia" w:eastAsia="宋体"/>
                <w:lang w:eastAsia="zh-CN"/>
              </w:rPr>
              <w:t>，</w:t>
            </w:r>
          </w:p>
          <w:p w14:paraId="145101A7">
            <w:pPr>
              <w:tabs>
                <w:tab w:val="left" w:pos="1418"/>
                <w:tab w:val="left" w:pos="2127"/>
                <w:tab w:val="left" w:pos="2835"/>
                <w:tab w:val="left" w:pos="3402"/>
              </w:tabs>
              <w:spacing w:before="120" w:after="120"/>
              <w:rPr>
                <w:b/>
                <w:bCs/>
              </w:rPr>
            </w:pPr>
            <w:r>
              <w:rPr>
                <w:b/>
                <w:bCs/>
              </w:rPr>
              <w:t>[X] 60 days from notification</w:t>
            </w:r>
            <w:r>
              <w:t xml:space="preserve"> </w:t>
            </w:r>
          </w:p>
          <w:p w14:paraId="02B92276">
            <w:pPr>
              <w:spacing w:before="120" w:after="120"/>
            </w:pPr>
            <w:r>
              <w:rPr>
                <w:b/>
                <w:bCs/>
              </w:rPr>
              <w:t>Contact details of agency or authority designated to handle comments regarding the notification:</w:t>
            </w:r>
            <w:r>
              <w:t xml:space="preserve"> </w:t>
            </w:r>
          </w:p>
          <w:p w14:paraId="136BC497">
            <w:r>
              <w:t>National Bureau of Agricultural Commodity and Food Standards (ACFS)</w:t>
            </w:r>
          </w:p>
          <w:p w14:paraId="28617F6B">
            <w:r>
              <w:t>50 Phaholyothin Road, Ladyao</w:t>
            </w:r>
          </w:p>
          <w:p w14:paraId="3F61FCF2">
            <w:r>
              <w:t>Chatuchak, Bangkok 10900 - Thailand</w:t>
            </w:r>
          </w:p>
          <w:p w14:paraId="2D3197EC">
            <w:r>
              <w:t>Tel: +(662) 561 4204</w:t>
            </w:r>
          </w:p>
          <w:p w14:paraId="629E0190">
            <w:r>
              <w:t>Fax: +(662) 561 4034</w:t>
            </w:r>
          </w:p>
          <w:p w14:paraId="62AEE06E">
            <w:r>
              <w:t xml:space="preserve">E-mail: </w:t>
            </w:r>
            <w:r>
              <w:fldChar w:fldCharType="begin"/>
            </w:r>
            <w:r>
              <w:instrText xml:space="preserve"> HYPERLINK "mailto:spsthailand@acfs.go.th" </w:instrText>
            </w:r>
            <w:r>
              <w:fldChar w:fldCharType="separate"/>
            </w:r>
            <w:r>
              <w:rPr>
                <w:color w:val="0000FF"/>
                <w:u w:val="single"/>
              </w:rPr>
              <w:t>spsthailand@acfs.go.th</w:t>
            </w:r>
            <w:r>
              <w:rPr>
                <w:color w:val="0000FF"/>
                <w:u w:val="single"/>
              </w:rPr>
              <w:fldChar w:fldCharType="end"/>
            </w:r>
            <w:r>
              <w:t xml:space="preserve">, </w:t>
            </w:r>
            <w:r>
              <w:fldChar w:fldCharType="begin"/>
            </w:r>
            <w:r>
              <w:instrText xml:space="preserve"> HYPERLINK "mailto:spsthailand@gmail.com" </w:instrText>
            </w:r>
            <w:r>
              <w:fldChar w:fldCharType="separate"/>
            </w:r>
            <w:r>
              <w:rPr>
                <w:color w:val="0000FF"/>
                <w:u w:val="single"/>
              </w:rPr>
              <w:t>spsthailand@gmail.com</w:t>
            </w:r>
            <w:r>
              <w:rPr>
                <w:color w:val="0000FF"/>
                <w:u w:val="single"/>
              </w:rPr>
              <w:fldChar w:fldCharType="end"/>
            </w:r>
          </w:p>
          <w:p w14:paraId="69E4C41C">
            <w:r>
              <w:t xml:space="preserve">Websites: </w:t>
            </w:r>
            <w:r>
              <w:fldChar w:fldCharType="begin"/>
            </w:r>
            <w:r>
              <w:instrText xml:space="preserve"> HYPERLINK "http://www.acfs.go.th" \t "_blank" </w:instrText>
            </w:r>
            <w:r>
              <w:fldChar w:fldCharType="separate"/>
            </w:r>
            <w:r>
              <w:rPr>
                <w:color w:val="0000FF"/>
                <w:u w:val="single"/>
              </w:rPr>
              <w:t>http://www.acfs.go.th</w:t>
            </w:r>
            <w:r>
              <w:rPr>
                <w:color w:val="0000FF"/>
                <w:u w:val="single"/>
              </w:rPr>
              <w:fldChar w:fldCharType="end"/>
            </w:r>
          </w:p>
          <w:p w14:paraId="341BF6B4">
            <w:pPr>
              <w:spacing w:before="120" w:after="120"/>
              <w:rPr>
                <w:rFonts w:hint="eastAsia" w:eastAsia="宋体"/>
                <w:lang w:eastAsia="zh-CN"/>
              </w:rPr>
            </w:pPr>
            <w:r>
              <w:fldChar w:fldCharType="begin"/>
            </w:r>
            <w:r>
              <w:instrText xml:space="preserve"> HYPERLINK "http://www.spsthailand.acfs.go.th" \t "_blank" </w:instrText>
            </w:r>
            <w:r>
              <w:fldChar w:fldCharType="separate"/>
            </w:r>
            <w:r>
              <w:rPr>
                <w:color w:val="0000FF"/>
                <w:u w:val="single"/>
              </w:rPr>
              <w:t>http://www.spsthailand.acfs.go.th</w:t>
            </w:r>
            <w:r>
              <w:rPr>
                <w:color w:val="0000FF"/>
                <w:u w:val="single"/>
              </w:rPr>
              <w:fldChar w:fldCharType="end"/>
            </w:r>
          </w:p>
        </w:tc>
      </w:tr>
      <w:tr w14:paraId="6872D22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4EA02B5">
            <w:pPr>
              <w:keepNext/>
              <w:keepLines/>
              <w:spacing w:before="120" w:after="120"/>
              <w:jc w:val="left"/>
              <w:rPr>
                <w:b/>
              </w:rPr>
            </w:pPr>
            <w:r>
              <w:rPr>
                <w:b/>
              </w:rPr>
              <w:t>11.</w:t>
            </w:r>
          </w:p>
        </w:tc>
        <w:tc>
          <w:tcPr>
            <w:tcW w:w="8546" w:type="dxa"/>
            <w:tcBorders>
              <w:top w:val="single" w:color="auto" w:sz="6" w:space="0"/>
            </w:tcBorders>
            <w:shd w:val="clear" w:color="auto" w:fill="auto"/>
          </w:tcPr>
          <w:p w14:paraId="207696F9">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8DFB993">
            <w:pPr>
              <w:pBdr>
                <w:top w:val="none" w:color="auto" w:sz="0" w:space="4"/>
              </w:pBdr>
              <w:rPr>
                <w:iCs/>
              </w:rPr>
            </w:pPr>
            <w:bookmarkStart w:id="10" w:name="_GoBack"/>
            <w:bookmarkEnd w:id="10"/>
            <w:r>
              <w:fldChar w:fldCharType="begin"/>
            </w:r>
            <w:r>
              <w:instrText xml:space="preserve"> HYPERLINK "https://members.wto.org/crnattachments/2025/TBT/THA/25_04828_00_e.pdf" \t "_blank" </w:instrText>
            </w:r>
            <w:r>
              <w:fldChar w:fldCharType="separate"/>
            </w:r>
            <w:r>
              <w:rPr>
                <w:iCs/>
                <w:color w:val="0000FF"/>
                <w:u w:val="single"/>
              </w:rPr>
              <w:t>https://members.wto.org/crnattachments/2025/TBT/THA/25_04828_00_e.pdf</w:t>
            </w:r>
            <w:r>
              <w:rPr>
                <w:iCs/>
                <w:color w:val="0000FF"/>
                <w:u w:val="single"/>
              </w:rPr>
              <w:fldChar w:fldCharType="end"/>
            </w:r>
          </w:p>
          <w:p w14:paraId="6F5228DE">
            <w:pPr>
              <w:keepNext/>
              <w:keepLines/>
              <w:pBdr>
                <w:top w:val="none" w:color="auto" w:sz="0" w:space="4"/>
              </w:pBdr>
              <w:spacing w:after="120"/>
              <w:rPr>
                <w:bCs/>
              </w:rPr>
            </w:pPr>
            <w:r>
              <w:fldChar w:fldCharType="begin"/>
            </w:r>
            <w:r>
              <w:instrText xml:space="preserve"> HYPERLINK "https://members.wto.org/crnattachments/2025/TBT/THA/25_04828_00_x.pdf" \t "_blank" </w:instrText>
            </w:r>
            <w:r>
              <w:fldChar w:fldCharType="separate"/>
            </w:r>
            <w:r>
              <w:rPr>
                <w:iCs/>
                <w:color w:val="0000FF"/>
                <w:u w:val="single"/>
              </w:rPr>
              <w:t>https://members.wto.org/crnattachments/2025/TBT/THA/25_04828_00_x.pdf</w:t>
            </w:r>
            <w:r>
              <w:rPr>
                <w:iCs/>
                <w:color w:val="0000FF"/>
                <w:u w:val="single"/>
              </w:rPr>
              <w:fldChar w:fldCharType="end"/>
            </w:r>
          </w:p>
        </w:tc>
      </w:tr>
    </w:tbl>
    <w:p w14:paraId="79ED85F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734E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280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7885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20D74">
    <w:pPr>
      <w:pStyle w:val="58"/>
      <w:pBdr>
        <w:bottom w:val="single" w:color="auto" w:sz="4" w:space="1"/>
      </w:pBdr>
      <w:tabs>
        <w:tab w:val="clear" w:pos="4513"/>
        <w:tab w:val="clear" w:pos="9027"/>
      </w:tabs>
      <w:jc w:val="center"/>
    </w:pPr>
    <w:bookmarkStart w:id="9" w:name="spsSymbolHeader"/>
    <w:r>
      <w:t>G/TBT/N/THA/781</w:t>
    </w:r>
    <w:bookmarkEnd w:id="9"/>
  </w:p>
  <w:p w14:paraId="74BADDC0">
    <w:pPr>
      <w:pStyle w:val="58"/>
      <w:pBdr>
        <w:bottom w:val="single" w:color="auto" w:sz="4" w:space="1"/>
      </w:pBdr>
      <w:tabs>
        <w:tab w:val="clear" w:pos="4513"/>
        <w:tab w:val="clear" w:pos="9027"/>
      </w:tabs>
      <w:jc w:val="center"/>
    </w:pPr>
  </w:p>
  <w:p w14:paraId="3FD9FA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87CFAD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A4E68">
    <w:pPr>
      <w:pStyle w:val="58"/>
      <w:pBdr>
        <w:bottom w:val="single" w:color="auto" w:sz="4" w:space="1"/>
      </w:pBdr>
      <w:tabs>
        <w:tab w:val="clear" w:pos="4513"/>
        <w:tab w:val="clear" w:pos="9027"/>
      </w:tabs>
      <w:jc w:val="center"/>
    </w:pPr>
    <w:r>
      <w:t>tbtSymbol</w:t>
    </w:r>
  </w:p>
  <w:p w14:paraId="517E9D4F">
    <w:pPr>
      <w:pStyle w:val="58"/>
      <w:pBdr>
        <w:bottom w:val="single" w:color="auto" w:sz="4" w:space="1"/>
      </w:pBdr>
      <w:tabs>
        <w:tab w:val="clear" w:pos="4513"/>
        <w:tab w:val="clear" w:pos="9027"/>
      </w:tabs>
      <w:jc w:val="center"/>
    </w:pPr>
  </w:p>
  <w:p w14:paraId="0165BC0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6EA908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DB63EE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61758F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8BC5FDB">
          <w:pPr>
            <w:jc w:val="right"/>
            <w:rPr>
              <w:b/>
              <w:color w:val="FF0000"/>
              <w:szCs w:val="16"/>
            </w:rPr>
          </w:pPr>
        </w:p>
      </w:tc>
    </w:tr>
    <w:bookmarkEnd w:id="0"/>
    <w:tr w14:paraId="1AA2C04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397344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ABD48E9">
          <w:pPr>
            <w:jc w:val="right"/>
            <w:rPr>
              <w:b/>
              <w:szCs w:val="16"/>
            </w:rPr>
          </w:pPr>
        </w:p>
      </w:tc>
    </w:tr>
    <w:tr w14:paraId="446FE27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0B72F05">
          <w:pPr>
            <w:jc w:val="left"/>
            <w:rPr>
              <w:lang w:eastAsia="en-GB"/>
            </w:rPr>
          </w:pPr>
        </w:p>
      </w:tc>
      <w:tc>
        <w:tcPr>
          <w:tcW w:w="5448" w:type="dxa"/>
          <w:gridSpan w:val="2"/>
          <w:shd w:val="clear" w:color="auto" w:fill="FFFFFF"/>
          <w:tcMar>
            <w:left w:w="108" w:type="dxa"/>
            <w:right w:w="108" w:type="dxa"/>
          </w:tcMar>
        </w:tcPr>
        <w:p w14:paraId="3E93BABE">
          <w:pPr>
            <w:jc w:val="right"/>
            <w:rPr>
              <w:rFonts w:hint="eastAsia" w:eastAsia="宋体"/>
              <w:b/>
              <w:szCs w:val="16"/>
              <w:lang w:eastAsia="zh-CN"/>
            </w:rPr>
          </w:pPr>
          <w:bookmarkStart w:id="1" w:name="bmkSymbols"/>
          <w:r>
            <w:rPr>
              <w:b/>
              <w:szCs w:val="16"/>
            </w:rPr>
            <w:t>G/TBT/N/THA/78</w:t>
          </w:r>
          <w:bookmarkEnd w:id="1"/>
          <w:r>
            <w:rPr>
              <w:rFonts w:hint="eastAsia" w:eastAsia="宋体"/>
              <w:b/>
              <w:szCs w:val="16"/>
              <w:lang w:val="en-US" w:eastAsia="zh-CN"/>
            </w:rPr>
            <w:t>5</w:t>
          </w:r>
        </w:p>
      </w:tc>
    </w:tr>
    <w:tr w14:paraId="2BC6556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34FC819"/>
      </w:tc>
      <w:tc>
        <w:tcPr>
          <w:tcW w:w="5448" w:type="dxa"/>
          <w:gridSpan w:val="2"/>
          <w:shd w:val="clear" w:color="auto" w:fill="FFFFFF"/>
          <w:tcMar>
            <w:left w:w="108" w:type="dxa"/>
            <w:right w:w="108" w:type="dxa"/>
          </w:tcMar>
          <w:vAlign w:val="center"/>
        </w:tcPr>
        <w:p w14:paraId="76BC2AE4">
          <w:pPr>
            <w:jc w:val="right"/>
            <w:rPr>
              <w:szCs w:val="16"/>
            </w:rPr>
          </w:pPr>
          <w:bookmarkStart w:id="2" w:name="spsDateDistribution"/>
          <w:bookmarkStart w:id="3" w:name="bmkDate"/>
          <w:r>
            <w:rPr>
              <w:szCs w:val="16"/>
            </w:rPr>
            <w:t>2</w:t>
          </w:r>
          <w:r>
            <w:rPr>
              <w:rFonts w:hint="eastAsia" w:eastAsia="宋体"/>
              <w:szCs w:val="16"/>
              <w:lang w:val="en-US" w:eastAsia="zh-CN"/>
            </w:rPr>
            <w:t>4</w:t>
          </w:r>
          <w:r>
            <w:rPr>
              <w:szCs w:val="16"/>
            </w:rPr>
            <w:t xml:space="preserve"> Ju</w:t>
          </w:r>
          <w:r>
            <w:rPr>
              <w:rFonts w:hint="eastAsia" w:eastAsia="宋体"/>
              <w:szCs w:val="16"/>
              <w:lang w:val="en-US" w:eastAsia="zh-CN"/>
            </w:rPr>
            <w:t>ly</w:t>
          </w:r>
          <w:r>
            <w:rPr>
              <w:szCs w:val="16"/>
            </w:rPr>
            <w:t xml:space="preserve"> 2025</w:t>
          </w:r>
          <w:bookmarkEnd w:id="2"/>
          <w:bookmarkEnd w:id="3"/>
        </w:p>
      </w:tc>
    </w:tr>
    <w:tr w14:paraId="64ECED0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2C82650">
          <w:pPr>
            <w:jc w:val="left"/>
            <w:rPr>
              <w:b/>
            </w:rPr>
          </w:pPr>
          <w:bookmarkStart w:id="4" w:name="bmkSerial"/>
          <w:r>
            <w:rPr>
              <w:b w:val="0"/>
              <w:color w:val="FF0000"/>
            </w:rPr>
            <w:t>(25-</w:t>
          </w:r>
          <w:r>
            <w:rPr>
              <w:rFonts w:hint="eastAsia" w:eastAsia="宋体"/>
              <w:b w:val="0"/>
              <w:color w:val="FF0000"/>
              <w:lang w:val="en-US" w:eastAsia="zh-CN"/>
            </w:rPr>
            <w:t>4774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0372C49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44025DD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04E48B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64945A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9D75EE5">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1F51"/>
    <w:rsid w:val="007D20BB"/>
    <w:rsid w:val="007E1308"/>
    <w:rsid w:val="007E1937"/>
    <w:rsid w:val="007E4C24"/>
    <w:rsid w:val="007E6507"/>
    <w:rsid w:val="007F13E8"/>
    <w:rsid w:val="007F27B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6383"/>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10A3A6C"/>
    <w:rsid w:val="24512DA3"/>
    <w:rsid w:val="284674BA"/>
    <w:rsid w:val="4ECF70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qFormat="1" w:uiPriority="99" w:name="List 2"/>
    <w:lsdException w:uiPriority="99" w:name="List 3"/>
    <w:lsdException w:uiPriority="99" w:name="List 4"/>
    <w:lsdException w:uiPriority="99" w:name="List 5"/>
    <w:lsdException w:qFormat="1"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uiPriority="99" w:name="Table Colorful 2"/>
    <w:lsdException w:qFormat="1" w:uiPriority="99" w:name="Table Colorful 3"/>
    <w:lsdException w:qFormat="1"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qFormat="1" w:uiPriority="99" w:name="Table Grid 8"/>
    <w:lsdException w:uiPriority="99" w:name="Table List 1"/>
    <w:lsdException w:qFormat="1" w:uiPriority="99" w:name="Table List 2"/>
    <w:lsdException w:qFormat="1" w:uiPriority="99" w:name="Table List 3"/>
    <w:lsdException w:uiPriority="99" w:name="Table List 4"/>
    <w:lsdException w:qFormat="1" w:uiPriority="99" w:name="Table List 5"/>
    <w:lsdException w:qFormat="1" w:uiPriority="99" w:name="Table List 6"/>
    <w:lsdException w:qFormat="1" w:uiPriority="99" w:name="Table List 7"/>
    <w:lsdException w:uiPriority="99" w:name="Table List 8"/>
    <w:lsdException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uiPriority="99" w:name="Table Web 1"/>
    <w:lsdException w:qFormat="1"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qFormat="1" w:unhideWhenUsed="0" w:uiPriority="63" w:semiHidden="0" w:name="Medium Shading 1 Accent 2"/>
    <w:lsdException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484</Words>
  <Characters>2953</Characters>
  <Lines>23</Lines>
  <Paragraphs>6</Paragraphs>
  <TotalTime>0</TotalTime>
  <ScaleCrop>false</ScaleCrop>
  <LinksUpToDate>false</LinksUpToDate>
  <CharactersWithSpaces>3393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2025-06-02T14:28:00Z</dcterms:created>
  <dc:creator>mark louie medidas</dc:creator>
  <dc:description>LDIMD - DTU</dc:description>
  <cp:lastModifiedBy> 譞譞</cp:lastModifiedBy>
  <dcterms:modified xsi:type="dcterms:W3CDTF">2025-07-24T15:54:43Z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F759093CA5D343128E28E72DBB98BF59_12</vt:lpwstr>
  </property>
</Properties>
</file>