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10D0">
      <w:pPr>
        <w:pStyle w:val="84"/>
        <w:rPr>
          <w:caps w:val="0"/>
          <w:kern w:val="0"/>
        </w:rPr>
      </w:pPr>
      <w:r>
        <w:rPr>
          <w:caps w:val="0"/>
          <w:kern w:val="0"/>
        </w:rPr>
        <w:t>NOTIFICATION</w:t>
      </w:r>
    </w:p>
    <w:p w14:paraId="7920C9B6">
      <w:pPr>
        <w:jc w:val="center"/>
      </w:pPr>
      <w:r>
        <w:t>The following notification is being circulated in accordance with Article 10.6</w:t>
      </w:r>
    </w:p>
    <w:p w14:paraId="79E7364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7096E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6199EF4">
            <w:pPr>
              <w:spacing w:before="120" w:after="120"/>
              <w:jc w:val="left"/>
            </w:pPr>
            <w:r>
              <w:rPr>
                <w:b/>
              </w:rPr>
              <w:t>1.</w:t>
            </w:r>
          </w:p>
        </w:tc>
        <w:tc>
          <w:tcPr>
            <w:tcW w:w="8546" w:type="dxa"/>
            <w:tcBorders>
              <w:bottom w:val="single" w:color="auto" w:sz="6" w:space="0"/>
            </w:tcBorders>
            <w:shd w:val="clear" w:color="auto" w:fill="auto"/>
          </w:tcPr>
          <w:p w14:paraId="0FF3BECD">
            <w:pPr>
              <w:spacing w:before="120" w:after="120"/>
            </w:pPr>
            <w:r>
              <w:rPr>
                <w:b/>
              </w:rPr>
              <w:t>Notifying Member:</w:t>
            </w:r>
            <w:r>
              <w:t xml:space="preserve"> </w:t>
            </w:r>
            <w:r>
              <w:rPr>
                <w:u w:val="single"/>
              </w:rPr>
              <w:t>MALAWI</w:t>
            </w:r>
          </w:p>
          <w:p w14:paraId="14EB6EE1">
            <w:pPr>
              <w:spacing w:after="120"/>
            </w:pPr>
            <w:r>
              <w:rPr>
                <w:b/>
              </w:rPr>
              <w:t>If applicable, name of local government involved (Article 3.2 and 7.2):</w:t>
            </w:r>
            <w:r>
              <w:t xml:space="preserve"> </w:t>
            </w:r>
          </w:p>
        </w:tc>
      </w:tr>
      <w:tr w14:paraId="0C3148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FD77627">
            <w:pPr>
              <w:spacing w:before="120" w:after="120"/>
              <w:jc w:val="left"/>
            </w:pPr>
            <w:r>
              <w:rPr>
                <w:b/>
              </w:rPr>
              <w:t>2.</w:t>
            </w:r>
          </w:p>
        </w:tc>
        <w:tc>
          <w:tcPr>
            <w:tcW w:w="8546" w:type="dxa"/>
            <w:tcBorders>
              <w:top w:val="single" w:color="auto" w:sz="6" w:space="0"/>
              <w:bottom w:val="single" w:color="auto" w:sz="6" w:space="0"/>
            </w:tcBorders>
            <w:shd w:val="clear" w:color="auto" w:fill="auto"/>
          </w:tcPr>
          <w:p w14:paraId="77DC7508">
            <w:pPr>
              <w:spacing w:before="120" w:after="120"/>
            </w:pPr>
            <w:r>
              <w:rPr>
                <w:b/>
              </w:rPr>
              <w:t>Agency responsible:</w:t>
            </w:r>
            <w:r>
              <w:t xml:space="preserve"> </w:t>
            </w:r>
          </w:p>
          <w:p w14:paraId="2740AFC1">
            <w:pPr>
              <w:spacing w:after="120"/>
            </w:pPr>
            <w:r>
              <w:t>Malawi Bureau of Standards</w:t>
            </w:r>
          </w:p>
          <w:p w14:paraId="3F0DB6F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77445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BADC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B4141B">
            <w:pPr>
              <w:spacing w:before="120" w:after="120"/>
            </w:pPr>
            <w:r>
              <w:rPr>
                <w:b/>
              </w:rPr>
              <w:t>Notified under Article 2.9.2 [X], 2.10.1 [ ], 5.6.2 [ ], 5.7.1 [ ], 3.2 [ ], 7.2 [ ], other:</w:t>
            </w:r>
            <w:r>
              <w:t xml:space="preserve"> </w:t>
            </w:r>
          </w:p>
        </w:tc>
      </w:tr>
      <w:tr w14:paraId="732FD8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AA4638">
            <w:pPr>
              <w:spacing w:before="120" w:after="120"/>
              <w:jc w:val="left"/>
            </w:pPr>
            <w:r>
              <w:rPr>
                <w:b/>
              </w:rPr>
              <w:t>4.</w:t>
            </w:r>
          </w:p>
        </w:tc>
        <w:tc>
          <w:tcPr>
            <w:tcW w:w="8546" w:type="dxa"/>
            <w:tcBorders>
              <w:top w:val="single" w:color="auto" w:sz="6" w:space="0"/>
              <w:bottom w:val="single" w:color="auto" w:sz="6" w:space="0"/>
            </w:tcBorders>
            <w:shd w:val="clear" w:color="auto" w:fill="auto"/>
          </w:tcPr>
          <w:p w14:paraId="6954BEFD">
            <w:pPr>
              <w:spacing w:before="120" w:after="120"/>
            </w:pPr>
            <w:r>
              <w:rPr>
                <w:b/>
              </w:rPr>
              <w:t>Products covered (HS or CCCN where applicable, otherwise national tariff heading. ICS numbers may be provided in addition, where applicable):</w:t>
            </w:r>
            <w:r>
              <w:t xml:space="preserve"> ORGANIC CHEMICALS (HS code(s): 29); Textile fabrics (ICS code(s): 59.080.30)</w:t>
            </w:r>
          </w:p>
        </w:tc>
      </w:tr>
      <w:tr w14:paraId="34CEF3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894356">
            <w:pPr>
              <w:spacing w:before="120" w:after="120"/>
              <w:jc w:val="left"/>
            </w:pPr>
            <w:r>
              <w:rPr>
                <w:b/>
              </w:rPr>
              <w:t>5.</w:t>
            </w:r>
          </w:p>
        </w:tc>
        <w:tc>
          <w:tcPr>
            <w:tcW w:w="8546" w:type="dxa"/>
            <w:tcBorders>
              <w:top w:val="single" w:color="auto" w:sz="6" w:space="0"/>
              <w:bottom w:val="single" w:color="auto" w:sz="6" w:space="0"/>
            </w:tcBorders>
            <w:shd w:val="clear" w:color="auto" w:fill="auto"/>
          </w:tcPr>
          <w:p w14:paraId="6C727F22">
            <w:pPr>
              <w:spacing w:before="120" w:after="120"/>
            </w:pPr>
            <w:r>
              <w:rPr>
                <w:b/>
              </w:rPr>
              <w:t>Title, number of pages and language(s) of the notified document:</w:t>
            </w:r>
            <w:r>
              <w:t xml:space="preserve"> DMS 2084:2024: Long lasting insecticide treated mosquito nets – Specification; (5 page(s), in English)</w:t>
            </w:r>
          </w:p>
        </w:tc>
      </w:tr>
      <w:tr w14:paraId="55E359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2677A09">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56C16F9A">
            <w:pPr>
              <w:spacing w:before="120" w:after="120"/>
              <w:rPr>
                <w:b/>
              </w:rPr>
            </w:pPr>
            <w:r>
              <w:rPr>
                <w:b/>
              </w:rPr>
              <w:t>Description of content:</w:t>
            </w:r>
            <w:r>
              <w:t xml:space="preserve"> This Draft Malawi Standard specifies requirements, sampling, and test methods for treated Long Lasting Insecticide Nets (LLIN).</w:t>
            </w:r>
          </w:p>
        </w:tc>
      </w:tr>
      <w:tr w14:paraId="727FC8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DFF1C3F">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EEB4341">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w:t>
            </w:r>
          </w:p>
        </w:tc>
      </w:tr>
      <w:tr w14:paraId="3009B54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2B2BEC0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7DE7BD41">
            <w:pPr>
              <w:spacing w:before="120" w:after="120"/>
              <w:rPr>
                <w:bCs/>
              </w:rPr>
            </w:pPr>
            <w:r>
              <w:rPr>
                <w:b/>
              </w:rPr>
              <w:t>Relevant documents:</w:t>
            </w:r>
            <w:r>
              <w:t xml:space="preserve"> </w:t>
            </w:r>
          </w:p>
          <w:p w14:paraId="5B967A43">
            <w:pPr>
              <w:numPr>
                <w:ilvl w:val="0"/>
                <w:numId w:val="7"/>
              </w:numPr>
              <w:spacing w:before="120" w:after="120"/>
            </w:pPr>
            <w:r>
              <w:t>MS 131, Textiles — Standard atmospheres for conditioning and testing</w:t>
            </w:r>
          </w:p>
          <w:p w14:paraId="36DD3727">
            <w:pPr>
              <w:numPr>
                <w:ilvl w:val="0"/>
                <w:numId w:val="7"/>
              </w:numPr>
              <w:spacing w:before="120" w:after="120"/>
            </w:pPr>
            <w:r>
              <w:t>MS 133-1, Textiles — Quantitative chemical analysis — Part 1: General principles of testing</w:t>
            </w:r>
          </w:p>
          <w:p w14:paraId="5F99B2B3">
            <w:pPr>
              <w:numPr>
                <w:ilvl w:val="0"/>
                <w:numId w:val="7"/>
              </w:numPr>
              <w:spacing w:before="120" w:after="120"/>
            </w:pPr>
            <w:r>
              <w:t>MS 133-2, Textiles — Quantitative chemical analysis — Part 2: Ternary fibre mixtures</w:t>
            </w:r>
          </w:p>
          <w:p w14:paraId="26696D92">
            <w:pPr>
              <w:numPr>
                <w:ilvl w:val="0"/>
                <w:numId w:val="7"/>
              </w:numPr>
              <w:spacing w:before="120" w:after="120"/>
            </w:pPr>
            <w:r>
              <w:t>DMS 133-16, Textiles — Quantitative chemical analysis — Part 16: Mixtures of polypropylene fibres with certain other fibres (method using xylene)</w:t>
            </w:r>
          </w:p>
          <w:p w14:paraId="359D4D23">
            <w:pPr>
              <w:numPr>
                <w:ilvl w:val="0"/>
                <w:numId w:val="7"/>
              </w:numPr>
              <w:spacing w:before="120" w:after="120"/>
            </w:pPr>
            <w:r>
              <w:t>DMS 133-24, Textiles — Quantitative chemical analysis — Part 24: Mixtures of polyester and certain other fibres (method using phenol and tetrachloroethane)</w:t>
            </w:r>
          </w:p>
          <w:p w14:paraId="6EA4FC0C">
            <w:pPr>
              <w:numPr>
                <w:ilvl w:val="0"/>
                <w:numId w:val="7"/>
              </w:numPr>
              <w:spacing w:before="120" w:after="120"/>
            </w:pPr>
            <w:r>
              <w:t>DMS 133-25, Textiles — Quantitative chemical analysis — Part 25: Mixtures of polyester with certain other fibres (method using trichloroacetic acid and chloroform</w:t>
            </w:r>
          </w:p>
          <w:p w14:paraId="4A664B60">
            <w:pPr>
              <w:numPr>
                <w:ilvl w:val="0"/>
                <w:numId w:val="7"/>
              </w:numPr>
              <w:spacing w:before="120" w:after="120"/>
            </w:pPr>
            <w:r>
              <w:t>DMS 967, Textiles — Natural fibres — Generic names and definitions</w:t>
            </w:r>
          </w:p>
          <w:p w14:paraId="516674D2">
            <w:pPr>
              <w:numPr>
                <w:ilvl w:val="0"/>
                <w:numId w:val="7"/>
              </w:numPr>
              <w:spacing w:before="120" w:after="120"/>
            </w:pPr>
            <w:r>
              <w:t>MS 268, Textiles — Care labelling code using symbols</w:t>
            </w:r>
          </w:p>
          <w:p w14:paraId="629C790C">
            <w:pPr>
              <w:numPr>
                <w:ilvl w:val="0"/>
                <w:numId w:val="7"/>
              </w:numPr>
              <w:spacing w:before="120" w:after="120"/>
            </w:pPr>
            <w:r>
              <w:t>DMS 1058, Textiles — Man-made fibres — Generic names</w:t>
            </w:r>
          </w:p>
          <w:p w14:paraId="27DCBC9E">
            <w:pPr>
              <w:numPr>
                <w:ilvl w:val="0"/>
                <w:numId w:val="7"/>
              </w:numPr>
              <w:spacing w:before="120" w:after="120"/>
            </w:pPr>
            <w:r>
              <w:t>DMS 2261-B02, Textiles — Tests for colour fastness — Part B02: Colour fastness to artificial light: Xenon arc fading lamp test</w:t>
            </w:r>
          </w:p>
          <w:p w14:paraId="5A3CCB85">
            <w:pPr>
              <w:numPr>
                <w:ilvl w:val="0"/>
                <w:numId w:val="7"/>
              </w:numPr>
              <w:spacing w:before="120" w:after="120"/>
            </w:pPr>
            <w:r>
              <w:t>DMS 2261-C10, Textiles — Tests for colour fastness — Part C10: Colour fastness to washing with soap or soap and soda</w:t>
            </w:r>
          </w:p>
          <w:p w14:paraId="69588A26">
            <w:pPr>
              <w:numPr>
                <w:ilvl w:val="0"/>
                <w:numId w:val="7"/>
              </w:numPr>
              <w:spacing w:before="120" w:after="120"/>
            </w:pPr>
            <w:r>
              <w:t>ISO 105-B01, Textiles — Tests for colour fastness — Part B01: Colour fastness to light: Daylight</w:t>
            </w:r>
          </w:p>
          <w:p w14:paraId="04B8D609">
            <w:pPr>
              <w:numPr>
                <w:ilvl w:val="0"/>
                <w:numId w:val="7"/>
              </w:numPr>
              <w:spacing w:before="120" w:after="120"/>
            </w:pPr>
            <w:r>
              <w:t>ISO 2060, Textiles — Yarn from packages — Determination of linear density (mass per unit length) by the Skein method</w:t>
            </w:r>
          </w:p>
          <w:p w14:paraId="41F7BEE8">
            <w:pPr>
              <w:numPr>
                <w:ilvl w:val="0"/>
                <w:numId w:val="7"/>
              </w:numPr>
              <w:spacing w:before="120" w:after="120"/>
            </w:pPr>
            <w:r>
              <w:t>ISO 3759, Textiles — Preparation, marking and measuring of fabric specimens and garments in tests for determination of dimensional change</w:t>
            </w:r>
          </w:p>
          <w:p w14:paraId="5863A77E">
            <w:pPr>
              <w:numPr>
                <w:ilvl w:val="0"/>
                <w:numId w:val="7"/>
              </w:numPr>
              <w:spacing w:before="120" w:after="120"/>
            </w:pPr>
            <w:r>
              <w:t>ISO 3801, Textiles — Woven fabrics — Determination of mass per unit length and mass per unit area</w:t>
            </w:r>
          </w:p>
          <w:p w14:paraId="021D651E">
            <w:pPr>
              <w:numPr>
                <w:ilvl w:val="0"/>
                <w:numId w:val="7"/>
              </w:numPr>
              <w:spacing w:before="120" w:after="120"/>
            </w:pPr>
            <w:r>
              <w:t>ISO 5077, Textiles — Determination of dimensional change in washing and drying</w:t>
            </w:r>
          </w:p>
          <w:p w14:paraId="3CBCE94B">
            <w:pPr>
              <w:numPr>
                <w:ilvl w:val="0"/>
                <w:numId w:val="7"/>
              </w:numPr>
              <w:spacing w:before="120" w:after="120"/>
            </w:pPr>
            <w:r>
              <w:t>ISO 6330, Textiles — Domestic washing and drying procedures for textile testing</w:t>
            </w:r>
          </w:p>
          <w:p w14:paraId="364EC155">
            <w:pPr>
              <w:numPr>
                <w:ilvl w:val="0"/>
                <w:numId w:val="7"/>
              </w:numPr>
              <w:spacing w:before="120" w:after="120"/>
            </w:pPr>
            <w:r>
              <w:t>ISO 8388, Knitted fabrics — Types — Vocabulary</w:t>
            </w:r>
          </w:p>
          <w:p w14:paraId="065BB79E">
            <w:pPr>
              <w:numPr>
                <w:ilvl w:val="0"/>
                <w:numId w:val="7"/>
              </w:numPr>
              <w:spacing w:before="120" w:after="120"/>
            </w:pPr>
            <w:r>
              <w:t>ISO 8499, Knitted fabrics — Description of defects — Vocabulary</w:t>
            </w:r>
          </w:p>
          <w:p w14:paraId="079FE4CB">
            <w:pPr>
              <w:numPr>
                <w:ilvl w:val="0"/>
                <w:numId w:val="7"/>
              </w:numPr>
              <w:spacing w:before="120" w:after="120"/>
            </w:pPr>
            <w:r>
              <w:t>ISO 13938-1, Textiles — Bursting properties of fabrics — Part 1: Hydraulic method for determination of bursting strength and bursting distension</w:t>
            </w:r>
          </w:p>
          <w:p w14:paraId="1C1902A9">
            <w:pPr>
              <w:numPr>
                <w:ilvl w:val="0"/>
                <w:numId w:val="7"/>
              </w:numPr>
              <w:spacing w:before="120" w:after="120"/>
            </w:pPr>
            <w:r>
              <w:t>ISO 13938-2, Textiles — Bursting properties of fabrics — Part 2: Pneumatic method for determination of bursting strength and bursting distension</w:t>
            </w:r>
          </w:p>
          <w:p w14:paraId="0687C8BE">
            <w:pPr>
              <w:numPr>
                <w:ilvl w:val="0"/>
                <w:numId w:val="7"/>
              </w:numPr>
              <w:spacing w:before="120" w:after="120"/>
            </w:pPr>
            <w:r>
              <w:t>ISO 16373-1, Textiles — Dyestuffs — Part 1: General principles of testing coloured textiles for dyestuff identification</w:t>
            </w:r>
          </w:p>
          <w:p w14:paraId="222CCF1B">
            <w:pPr>
              <w:numPr>
                <w:ilvl w:val="0"/>
                <w:numId w:val="7"/>
              </w:numPr>
              <w:spacing w:before="120" w:after="120"/>
            </w:pPr>
            <w:r>
              <w:t>ISO 16373-2, Textiles — Dyestuffs — Part 2: General method for the determination of extractable dyestuffs including allergenic and carcinogenic dyestuffs (method using pyridine-water)</w:t>
            </w:r>
          </w:p>
          <w:p w14:paraId="2C120D7C">
            <w:pPr>
              <w:numPr>
                <w:ilvl w:val="0"/>
                <w:numId w:val="7"/>
              </w:numPr>
              <w:spacing w:before="120" w:after="120"/>
            </w:pPr>
            <w:r>
              <w:t>ISO 16373-3, Textiles — Dyestuffs — Part 3: Method for determination of certain carcinogenic dyestuffs (method using triethylamine/methanol)</w:t>
            </w:r>
          </w:p>
          <w:p w14:paraId="0D22CB04">
            <w:pPr>
              <w:numPr>
                <w:ilvl w:val="0"/>
                <w:numId w:val="7"/>
              </w:numPr>
              <w:spacing w:before="120" w:after="120"/>
              <w:ind w:left="720" w:leftChars="0" w:hanging="360" w:firstLineChars="0"/>
            </w:pPr>
            <w:r>
              <w:t>ISO/TR 11827, Textiles — Composition testing — Identification of fibres</w:t>
            </w:r>
          </w:p>
        </w:tc>
      </w:tr>
      <w:tr w14:paraId="040F5C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F7B72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DE57ECF">
            <w:pPr>
              <w:spacing w:before="120" w:after="120"/>
            </w:pPr>
            <w:r>
              <w:rPr>
                <w:b/>
              </w:rPr>
              <w:t>Proposed date of adoption:</w:t>
            </w:r>
            <w:r>
              <w:t xml:space="preserve"> To be determined</w:t>
            </w:r>
          </w:p>
          <w:p w14:paraId="283E960E">
            <w:pPr>
              <w:spacing w:after="120"/>
            </w:pPr>
            <w:r>
              <w:rPr>
                <w:b/>
              </w:rPr>
              <w:t>Proposed date of entry into force:</w:t>
            </w:r>
            <w:r>
              <w:t xml:space="preserve"> To be determined</w:t>
            </w:r>
          </w:p>
        </w:tc>
      </w:tr>
      <w:tr w14:paraId="1877D0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4FC99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CD3D01">
            <w:pPr>
              <w:spacing w:before="120" w:after="120"/>
              <w:rPr>
                <w:rFonts w:hint="eastAsia" w:eastAsia="宋体"/>
                <w:bCs/>
                <w:lang w:eastAsia="zh-CN"/>
              </w:rPr>
            </w:pPr>
            <w:r>
              <w:rPr>
                <w:b/>
              </w:rPr>
              <w:t>Final date for comments:</w:t>
            </w:r>
            <w:r>
              <w:t xml:space="preserve"> 2</w:t>
            </w:r>
            <w:r>
              <w:rPr>
                <w:rFonts w:hint="eastAsia" w:eastAsia="宋体"/>
                <w:lang w:val="en-US" w:eastAsia="zh-CN"/>
              </w:rPr>
              <w:t>2</w:t>
            </w:r>
            <w:bookmarkStart w:id="10" w:name="_GoBack"/>
            <w:bookmarkEnd w:id="10"/>
            <w:r>
              <w:t xml:space="preserve"> September 2025</w:t>
            </w:r>
            <w:r>
              <w:rPr>
                <w:rFonts w:hint="eastAsia" w:eastAsia="宋体"/>
                <w:lang w:eastAsia="zh-CN"/>
              </w:rPr>
              <w:t>；</w:t>
            </w:r>
          </w:p>
          <w:p w14:paraId="1EAA1499">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7DE50520">
            <w:pPr>
              <w:spacing w:before="120" w:after="120"/>
            </w:pPr>
            <w:r>
              <w:rPr>
                <w:b/>
                <w:bCs/>
              </w:rPr>
              <w:t>Contact details of agency or authority designated to handle comments regarding the notification:</w:t>
            </w:r>
            <w:r>
              <w:t xml:space="preserve"> </w:t>
            </w:r>
          </w:p>
          <w:p w14:paraId="56028AC5">
            <w:r>
              <w:t>Director General</w:t>
            </w:r>
          </w:p>
          <w:p w14:paraId="3A928201">
            <w:r>
              <w:t>Malawi Bureau of Standards</w:t>
            </w:r>
          </w:p>
          <w:p w14:paraId="2192436C">
            <w:r>
              <w:t>P.O. Box 946</w:t>
            </w:r>
          </w:p>
          <w:p w14:paraId="4AF5414E">
            <w:r>
              <w:t>Blantyre,Malawi</w:t>
            </w:r>
          </w:p>
          <w:p w14:paraId="3DD71F28">
            <w:r>
              <w:t>Tel: + 265 887376 444</w:t>
            </w:r>
          </w:p>
          <w:p w14:paraId="00D328DD">
            <w:r>
              <w:t>Fax: + 265 1870 756</w:t>
            </w:r>
          </w:p>
          <w:p w14:paraId="4387E8EF">
            <w:pPr>
              <w:spacing w:before="120" w:after="120"/>
            </w:pPr>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p>
        </w:tc>
      </w:tr>
      <w:tr w14:paraId="3CC0F5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775D20D">
            <w:pPr>
              <w:keepNext/>
              <w:keepLines/>
              <w:spacing w:before="120" w:after="120"/>
              <w:jc w:val="left"/>
              <w:rPr>
                <w:b/>
              </w:rPr>
            </w:pPr>
            <w:r>
              <w:rPr>
                <w:b/>
              </w:rPr>
              <w:t>11.</w:t>
            </w:r>
          </w:p>
        </w:tc>
        <w:tc>
          <w:tcPr>
            <w:tcW w:w="8546" w:type="dxa"/>
            <w:tcBorders>
              <w:top w:val="single" w:color="auto" w:sz="6" w:space="0"/>
            </w:tcBorders>
            <w:shd w:val="clear" w:color="auto" w:fill="auto"/>
          </w:tcPr>
          <w:p w14:paraId="0E08073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D088EFF">
            <w:pPr>
              <w:rPr>
                <w:iCs/>
              </w:rPr>
            </w:pPr>
            <w:r>
              <w:rPr>
                <w:iCs/>
              </w:rPr>
              <w:t>Director General</w:t>
            </w:r>
          </w:p>
          <w:p w14:paraId="5C62A62D">
            <w:pPr>
              <w:rPr>
                <w:iCs/>
              </w:rPr>
            </w:pPr>
            <w:r>
              <w:rPr>
                <w:iCs/>
              </w:rPr>
              <w:t>Malawi Bureau of Standards</w:t>
            </w:r>
          </w:p>
          <w:p w14:paraId="4F8DE882">
            <w:pPr>
              <w:rPr>
                <w:iCs/>
              </w:rPr>
            </w:pPr>
            <w:r>
              <w:rPr>
                <w:iCs/>
              </w:rPr>
              <w:t>P.O Box 946</w:t>
            </w:r>
          </w:p>
          <w:p w14:paraId="121DAD1A">
            <w:pPr>
              <w:rPr>
                <w:iCs/>
              </w:rPr>
            </w:pPr>
            <w:r>
              <w:rPr>
                <w:iCs/>
              </w:rPr>
              <w:t>Blantyre,Malawi</w:t>
            </w:r>
          </w:p>
          <w:p w14:paraId="17868B2D">
            <w:pPr>
              <w:rPr>
                <w:iCs/>
              </w:rPr>
            </w:pPr>
            <w:r>
              <w:rPr>
                <w:iCs/>
              </w:rPr>
              <w:t>Tel: + 265 887376 444</w:t>
            </w:r>
          </w:p>
          <w:p w14:paraId="1F95F0D3">
            <w:pPr>
              <w:rPr>
                <w:iCs/>
              </w:rPr>
            </w:pPr>
            <w:r>
              <w:rPr>
                <w:iCs/>
              </w:rPr>
              <w:t>Fax: + 265 1870 756</w:t>
            </w:r>
          </w:p>
          <w:p w14:paraId="25643420">
            <w:pPr>
              <w:numPr>
                <w:ilvl w:val="0"/>
                <w:numId w:val="8"/>
              </w:numPr>
              <w:pBdr>
                <w:top w:val="none" w:color="auto" w:sz="0" w:space="4"/>
                <w:bottom w:val="none" w:color="auto" w:sz="0" w:space="4"/>
              </w:pBdr>
              <w:rPr>
                <w:iCs/>
                <w:color w:val="0000FF"/>
                <w:u w:val="single"/>
              </w:rPr>
            </w:pPr>
            <w:r>
              <w:rPr>
                <w:iCs/>
              </w:rPr>
              <w:t xml:space="preserve">mail: </w:t>
            </w:r>
            <w:r>
              <w:fldChar w:fldCharType="begin"/>
            </w:r>
            <w:r>
              <w:instrText xml:space="preserve"> HYPERLINK "mailto:info@mbsmw.org" </w:instrText>
            </w:r>
            <w:r>
              <w:fldChar w:fldCharType="separate"/>
            </w:r>
            <w:r>
              <w:rPr>
                <w:iCs/>
                <w:color w:val="0000FF"/>
                <w:u w:val="single"/>
              </w:rPr>
              <w:t>info@mbsmw.org</w:t>
            </w:r>
            <w:r>
              <w:rPr>
                <w:iCs/>
                <w:color w:val="0000FF"/>
                <w:u w:val="single"/>
              </w:rPr>
              <w:fldChar w:fldCharType="end"/>
            </w:r>
          </w:p>
          <w:p w14:paraId="23F70027">
            <w:pPr>
              <w:pBdr>
                <w:top w:val="none" w:color="auto" w:sz="0" w:space="4"/>
                <w:bottom w:val="none" w:color="auto" w:sz="0" w:space="4"/>
              </w:pBdr>
            </w:pPr>
          </w:p>
          <w:p w14:paraId="7D0C46EA">
            <w:pPr>
              <w:pBdr>
                <w:top w:val="none" w:color="auto" w:sz="0" w:space="4"/>
                <w:bottom w:val="none" w:color="auto" w:sz="0" w:space="4"/>
              </w:pBdr>
              <w:rPr>
                <w:iCs/>
              </w:rPr>
            </w:pPr>
            <w:r>
              <w:fldChar w:fldCharType="begin"/>
            </w:r>
            <w:r>
              <w:instrText xml:space="preserve"> HYPERLINK "https://members.wto.org/crnattachments/2025/TBT/MWI/25_04804_00_e.pdf" \t "_blank" </w:instrText>
            </w:r>
            <w:r>
              <w:fldChar w:fldCharType="separate"/>
            </w:r>
            <w:r>
              <w:rPr>
                <w:iCs/>
                <w:color w:val="0000FF"/>
                <w:u w:val="single"/>
              </w:rPr>
              <w:t>https://members.wto.org/crnattachments/2025/TBT/MWI/25_04804_00_e.pdf</w:t>
            </w:r>
            <w:r>
              <w:rPr>
                <w:iCs/>
                <w:color w:val="0000FF"/>
                <w:u w:val="single"/>
              </w:rPr>
              <w:fldChar w:fldCharType="end"/>
            </w:r>
          </w:p>
          <w:p w14:paraId="77FE284D">
            <w:pPr>
              <w:keepNext/>
              <w:keepLines/>
              <w:numPr>
                <w:ilvl w:val="0"/>
                <w:numId w:val="0"/>
              </w:numPr>
              <w:pBdr>
                <w:top w:val="none" w:color="auto" w:sz="0" w:space="4"/>
              </w:pBdr>
              <w:spacing w:after="120"/>
              <w:jc w:val="both"/>
              <w:rPr>
                <w:iCs/>
                <w:color w:val="0000FF"/>
                <w:u w:val="single"/>
              </w:rPr>
            </w:pPr>
          </w:p>
        </w:tc>
      </w:tr>
    </w:tbl>
    <w:p w14:paraId="1DADC584"/>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6DE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D2B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FE5A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BD73">
    <w:pPr>
      <w:pStyle w:val="58"/>
      <w:pBdr>
        <w:bottom w:val="single" w:color="auto" w:sz="4" w:space="1"/>
      </w:pBdr>
      <w:tabs>
        <w:tab w:val="clear" w:pos="4513"/>
        <w:tab w:val="clear" w:pos="9027"/>
      </w:tabs>
      <w:jc w:val="center"/>
    </w:pPr>
    <w:bookmarkStart w:id="9" w:name="spsSymbolHeader"/>
    <w:r>
      <w:t>G/TBT/N/MWI/191</w:t>
    </w:r>
    <w:bookmarkEnd w:id="9"/>
  </w:p>
  <w:p w14:paraId="7F5ECDE6">
    <w:pPr>
      <w:pStyle w:val="58"/>
      <w:pBdr>
        <w:bottom w:val="single" w:color="auto" w:sz="4" w:space="1"/>
      </w:pBdr>
      <w:tabs>
        <w:tab w:val="clear" w:pos="4513"/>
        <w:tab w:val="clear" w:pos="9027"/>
      </w:tabs>
      <w:jc w:val="center"/>
    </w:pPr>
  </w:p>
  <w:p w14:paraId="730DEAA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7F13EC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D912B">
    <w:pPr>
      <w:pStyle w:val="58"/>
      <w:pBdr>
        <w:bottom w:val="single" w:color="auto" w:sz="4" w:space="1"/>
      </w:pBdr>
      <w:tabs>
        <w:tab w:val="clear" w:pos="4513"/>
        <w:tab w:val="clear" w:pos="9027"/>
      </w:tabs>
      <w:jc w:val="center"/>
    </w:pPr>
    <w:r>
      <w:t>tbtSymbol</w:t>
    </w:r>
  </w:p>
  <w:p w14:paraId="2276F7F0">
    <w:pPr>
      <w:pStyle w:val="58"/>
      <w:pBdr>
        <w:bottom w:val="single" w:color="auto" w:sz="4" w:space="1"/>
      </w:pBdr>
      <w:tabs>
        <w:tab w:val="clear" w:pos="4513"/>
        <w:tab w:val="clear" w:pos="9027"/>
      </w:tabs>
      <w:jc w:val="center"/>
    </w:pPr>
  </w:p>
  <w:p w14:paraId="4912797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4C9DA4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56EEA2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2E7FF5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93B5D15">
          <w:pPr>
            <w:jc w:val="right"/>
            <w:rPr>
              <w:b/>
              <w:color w:val="FF0000"/>
              <w:szCs w:val="16"/>
            </w:rPr>
          </w:pPr>
        </w:p>
      </w:tc>
    </w:tr>
    <w:bookmarkEnd w:id="0"/>
    <w:tr w14:paraId="46F70A9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B18D32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692681">
          <w:pPr>
            <w:jc w:val="right"/>
            <w:rPr>
              <w:b/>
              <w:szCs w:val="16"/>
            </w:rPr>
          </w:pPr>
        </w:p>
      </w:tc>
    </w:tr>
    <w:tr w14:paraId="48EEC0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E5D1F24">
          <w:pPr>
            <w:jc w:val="left"/>
            <w:rPr>
              <w:lang w:eastAsia="en-GB"/>
            </w:rPr>
          </w:pPr>
        </w:p>
      </w:tc>
      <w:tc>
        <w:tcPr>
          <w:tcW w:w="5448" w:type="dxa"/>
          <w:gridSpan w:val="2"/>
          <w:shd w:val="clear" w:color="auto" w:fill="FFFFFF"/>
          <w:tcMar>
            <w:left w:w="108" w:type="dxa"/>
            <w:right w:w="108" w:type="dxa"/>
          </w:tcMar>
        </w:tcPr>
        <w:p w14:paraId="25805FFA">
          <w:pPr>
            <w:jc w:val="right"/>
            <w:rPr>
              <w:rFonts w:hint="default" w:eastAsia="宋体"/>
              <w:b/>
              <w:szCs w:val="16"/>
              <w:lang w:val="en-US" w:eastAsia="zh-CN"/>
            </w:rPr>
          </w:pPr>
          <w:bookmarkStart w:id="1" w:name="bmkSymbols"/>
          <w:r>
            <w:rPr>
              <w:b/>
              <w:szCs w:val="16"/>
            </w:rPr>
            <w:t>G/TBT/N/MWI/</w:t>
          </w:r>
          <w:r>
            <w:rPr>
              <w:rFonts w:hint="eastAsia" w:eastAsia="宋体"/>
              <w:b/>
              <w:szCs w:val="16"/>
              <w:lang w:val="en-US" w:eastAsia="zh-CN"/>
            </w:rPr>
            <w:t>2</w:t>
          </w:r>
          <w:bookmarkEnd w:id="1"/>
          <w:r>
            <w:rPr>
              <w:rFonts w:hint="eastAsia" w:eastAsia="宋体"/>
              <w:b/>
              <w:szCs w:val="16"/>
              <w:lang w:val="en-US" w:eastAsia="zh-CN"/>
            </w:rPr>
            <w:t>34</w:t>
          </w:r>
        </w:p>
      </w:tc>
    </w:tr>
    <w:tr w14:paraId="72C6D26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A60ACEB"/>
      </w:tc>
      <w:tc>
        <w:tcPr>
          <w:tcW w:w="5448" w:type="dxa"/>
          <w:gridSpan w:val="2"/>
          <w:shd w:val="clear" w:color="auto" w:fill="FFFFFF"/>
          <w:tcMar>
            <w:left w:w="108" w:type="dxa"/>
            <w:right w:w="108" w:type="dxa"/>
          </w:tcMar>
          <w:vAlign w:val="center"/>
        </w:tcPr>
        <w:p w14:paraId="39D67156">
          <w:pPr>
            <w:jc w:val="right"/>
            <w:rPr>
              <w:szCs w:val="16"/>
            </w:rPr>
          </w:pPr>
          <w:bookmarkStart w:id="2" w:name="bmkDate"/>
          <w:bookmarkStart w:id="3" w:name="spsDateDistribution"/>
          <w:r>
            <w:rPr>
              <w:szCs w:val="16"/>
            </w:rPr>
            <w:t>2</w:t>
          </w:r>
          <w:r>
            <w:rPr>
              <w:rFonts w:hint="eastAsia" w:eastAsia="宋体"/>
              <w:szCs w:val="16"/>
              <w:lang w:val="en-US" w:eastAsia="zh-CN"/>
            </w:rPr>
            <w:t>4</w:t>
          </w:r>
          <w:r>
            <w:rPr>
              <w:szCs w:val="16"/>
            </w:rPr>
            <w:t xml:space="preserve"> July 2025</w:t>
          </w:r>
          <w:bookmarkEnd w:id="2"/>
          <w:bookmarkEnd w:id="3"/>
        </w:p>
      </w:tc>
    </w:tr>
    <w:tr w14:paraId="5B583C6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0826AF2">
          <w:pPr>
            <w:jc w:val="left"/>
            <w:rPr>
              <w:b/>
            </w:rPr>
          </w:pPr>
          <w:bookmarkStart w:id="4" w:name="bmkSerial"/>
          <w:r>
            <w:rPr>
              <w:b w:val="0"/>
              <w:color w:val="FF0000"/>
            </w:rPr>
            <w:t>(25-</w:t>
          </w:r>
          <w:r>
            <w:rPr>
              <w:rFonts w:hint="eastAsia" w:eastAsia="宋体"/>
              <w:b w:val="0"/>
              <w:color w:val="FF0000"/>
              <w:lang w:val="en-US" w:eastAsia="zh-CN"/>
            </w:rPr>
            <w:t>4749</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64DA24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2F6FCD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31188B1">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2B5C94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4D79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2AAE4"/>
    <w:multiLevelType w:val="singleLevel"/>
    <w:tmpl w:val="B372AAE4"/>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3961"/>
    <w:rsid w:val="001E291F"/>
    <w:rsid w:val="00204CC3"/>
    <w:rsid w:val="00205F1B"/>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20D2"/>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A2E"/>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2280"/>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1F41"/>
    <w:rsid w:val="00C3241C"/>
    <w:rsid w:val="00C379C8"/>
    <w:rsid w:val="00C40E47"/>
    <w:rsid w:val="00C43456"/>
    <w:rsid w:val="00C43F2C"/>
    <w:rsid w:val="00C46583"/>
    <w:rsid w:val="00C47FCA"/>
    <w:rsid w:val="00C51B50"/>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9FD3055"/>
    <w:rsid w:val="0CB72258"/>
    <w:rsid w:val="11A91090"/>
    <w:rsid w:val="25792222"/>
    <w:rsid w:val="271C2E32"/>
    <w:rsid w:val="276F5B41"/>
    <w:rsid w:val="29F74D37"/>
    <w:rsid w:val="35FB3D65"/>
    <w:rsid w:val="3C797E12"/>
    <w:rsid w:val="3E761725"/>
    <w:rsid w:val="4132417F"/>
    <w:rsid w:val="4E902E4B"/>
    <w:rsid w:val="579C6EAE"/>
    <w:rsid w:val="597A7C28"/>
    <w:rsid w:val="5C3F0546"/>
    <w:rsid w:val="6EE15801"/>
    <w:rsid w:val="73600979"/>
    <w:rsid w:val="76FF7334"/>
    <w:rsid w:val="783C5347"/>
    <w:rsid w:val="7BCF70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52AF7-CC45-4544-ABF0-B16A717200BC}">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3</Pages>
  <Words>498</Words>
  <Characters>2800</Characters>
  <Lines>23</Lines>
  <Paragraphs>6</Paragraphs>
  <TotalTime>0</TotalTime>
  <ScaleCrop>false</ScaleCrop>
  <LinksUpToDate>false</LinksUpToDate>
  <CharactersWithSpaces>3249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2025-06-10T14:13:00Z</dcterms:created>
  <dc:creator>mark louie medidas</dc:creator>
  <dc:description>LDIMD - DTU</dc:description>
  <cp:lastModifiedBy> 譞譞</cp:lastModifiedBy>
  <dcterms:modified xsi:type="dcterms:W3CDTF">2025-07-24T15:48:10Z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A4DFA33984334C98BDC7C25919D49BD8_12</vt:lpwstr>
  </property>
</Properties>
</file>