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B10D0">
      <w:pPr>
        <w:pStyle w:val="84"/>
        <w:rPr>
          <w:caps w:val="0"/>
          <w:kern w:val="0"/>
        </w:rPr>
      </w:pPr>
      <w:r>
        <w:rPr>
          <w:caps w:val="0"/>
          <w:kern w:val="0"/>
        </w:rPr>
        <w:t>NOTIFICATION</w:t>
      </w:r>
    </w:p>
    <w:p w14:paraId="7920C9B6">
      <w:pPr>
        <w:jc w:val="center"/>
      </w:pPr>
      <w:r>
        <w:t>The following notification is being circulated in accordance with Article 10.6</w:t>
      </w:r>
    </w:p>
    <w:p w14:paraId="79E73643"/>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27096E4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PrEx>
        <w:tc>
          <w:tcPr>
            <w:tcW w:w="713" w:type="dxa"/>
            <w:tcBorders>
              <w:bottom w:val="single" w:color="auto" w:sz="6" w:space="0"/>
            </w:tcBorders>
            <w:shd w:val="clear" w:color="auto" w:fill="auto"/>
          </w:tcPr>
          <w:p w14:paraId="36199EF4">
            <w:pPr>
              <w:spacing w:before="120" w:after="120"/>
              <w:jc w:val="left"/>
            </w:pPr>
            <w:r>
              <w:rPr>
                <w:b/>
              </w:rPr>
              <w:t>1.</w:t>
            </w:r>
          </w:p>
        </w:tc>
        <w:tc>
          <w:tcPr>
            <w:tcW w:w="8546" w:type="dxa"/>
            <w:tcBorders>
              <w:bottom w:val="single" w:color="auto" w:sz="6" w:space="0"/>
            </w:tcBorders>
            <w:shd w:val="clear" w:color="auto" w:fill="auto"/>
          </w:tcPr>
          <w:p w14:paraId="0FF3BECD">
            <w:pPr>
              <w:spacing w:before="120" w:after="120"/>
            </w:pPr>
            <w:r>
              <w:rPr>
                <w:b/>
              </w:rPr>
              <w:t>Notifying Member:</w:t>
            </w:r>
            <w:r>
              <w:t xml:space="preserve"> </w:t>
            </w:r>
            <w:r>
              <w:rPr>
                <w:u w:val="single"/>
              </w:rPr>
              <w:t>MALAWI</w:t>
            </w:r>
          </w:p>
          <w:p w14:paraId="14EB6EE1">
            <w:pPr>
              <w:spacing w:after="120"/>
            </w:pPr>
            <w:r>
              <w:rPr>
                <w:b/>
              </w:rPr>
              <w:t>If applicable, name of local government involved (Article 3.2 and 7.2):</w:t>
            </w:r>
            <w:r>
              <w:t xml:space="preserve"> </w:t>
            </w:r>
          </w:p>
        </w:tc>
      </w:tr>
      <w:tr w14:paraId="0C31489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FD77627">
            <w:pPr>
              <w:spacing w:before="120" w:after="120"/>
              <w:jc w:val="left"/>
            </w:pPr>
            <w:r>
              <w:rPr>
                <w:b/>
              </w:rPr>
              <w:t>2.</w:t>
            </w:r>
          </w:p>
        </w:tc>
        <w:tc>
          <w:tcPr>
            <w:tcW w:w="8546" w:type="dxa"/>
            <w:tcBorders>
              <w:top w:val="single" w:color="auto" w:sz="6" w:space="0"/>
              <w:bottom w:val="single" w:color="auto" w:sz="6" w:space="0"/>
            </w:tcBorders>
            <w:shd w:val="clear" w:color="auto" w:fill="auto"/>
          </w:tcPr>
          <w:p w14:paraId="77DC7508">
            <w:pPr>
              <w:spacing w:before="120" w:after="120"/>
            </w:pPr>
            <w:r>
              <w:rPr>
                <w:b/>
              </w:rPr>
              <w:t>Agency responsible:</w:t>
            </w:r>
            <w:r>
              <w:t xml:space="preserve"> </w:t>
            </w:r>
          </w:p>
          <w:p w14:paraId="2740AFC1">
            <w:pPr>
              <w:spacing w:after="120"/>
            </w:pPr>
            <w:r>
              <w:t>Malawi Bureau of Standards</w:t>
            </w:r>
          </w:p>
          <w:p w14:paraId="3F0DB6F9">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477445E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9BADCC3">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0B4141B">
            <w:pPr>
              <w:spacing w:before="120" w:after="120"/>
            </w:pPr>
            <w:r>
              <w:rPr>
                <w:b/>
              </w:rPr>
              <w:t>Notified under Article 2.9.2 [X], 2.10.1 [ ], 5.6.2 [ ], 5.7.1 [ ], 3.2 [ ], 7.2 [ ], other:</w:t>
            </w:r>
            <w:r>
              <w:t xml:space="preserve"> </w:t>
            </w:r>
          </w:p>
        </w:tc>
      </w:tr>
      <w:tr w14:paraId="732FD84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2AA4638">
            <w:pPr>
              <w:spacing w:before="120" w:after="120"/>
              <w:jc w:val="left"/>
            </w:pPr>
            <w:r>
              <w:rPr>
                <w:b/>
              </w:rPr>
              <w:t>4.</w:t>
            </w:r>
          </w:p>
        </w:tc>
        <w:tc>
          <w:tcPr>
            <w:tcW w:w="8546" w:type="dxa"/>
            <w:tcBorders>
              <w:top w:val="single" w:color="auto" w:sz="6" w:space="0"/>
              <w:bottom w:val="single" w:color="auto" w:sz="6" w:space="0"/>
            </w:tcBorders>
            <w:shd w:val="clear" w:color="auto" w:fill="auto"/>
          </w:tcPr>
          <w:p w14:paraId="6954BEFD">
            <w:pPr>
              <w:spacing w:before="120" w:after="120"/>
            </w:pPr>
            <w:r>
              <w:rPr>
                <w:b/>
              </w:rPr>
              <w:t>Products covered (HS or CCCN where applicable, otherwise national tariff heading. ICS numbers may be provided in addition, where applicable):</w:t>
            </w:r>
            <w:r>
              <w:t xml:space="preserve"> Maize or corn (HS code(s): 1005); Cereals, pulses and derived products (ICS code(s): 67.060)</w:t>
            </w:r>
          </w:p>
        </w:tc>
      </w:tr>
      <w:tr w14:paraId="34CEF3B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D894356">
            <w:pPr>
              <w:spacing w:before="120" w:after="120"/>
              <w:jc w:val="left"/>
            </w:pPr>
            <w:r>
              <w:rPr>
                <w:b/>
              </w:rPr>
              <w:t>5.</w:t>
            </w:r>
          </w:p>
        </w:tc>
        <w:tc>
          <w:tcPr>
            <w:tcW w:w="8546" w:type="dxa"/>
            <w:tcBorders>
              <w:top w:val="single" w:color="auto" w:sz="6" w:space="0"/>
              <w:bottom w:val="single" w:color="auto" w:sz="6" w:space="0"/>
            </w:tcBorders>
            <w:shd w:val="clear" w:color="auto" w:fill="auto"/>
          </w:tcPr>
          <w:p w14:paraId="6F7C514A">
            <w:pPr>
              <w:spacing w:before="120" w:after="120"/>
            </w:pPr>
            <w:r>
              <w:rPr>
                <w:b/>
              </w:rPr>
              <w:t>Title, number of pages and language(s) of the notified document:</w:t>
            </w:r>
            <w:r>
              <w:t xml:space="preserve"> DMS 2064:2024 Popcorn kernels – Specification; (5 page(s), in English)</w:t>
            </w:r>
          </w:p>
        </w:tc>
      </w:tr>
      <w:tr w14:paraId="55E359F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2677A09">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56C16F9A">
            <w:pPr>
              <w:spacing w:before="120" w:after="120"/>
              <w:rPr>
                <w:b/>
              </w:rPr>
            </w:pPr>
            <w:r>
              <w:rPr>
                <w:b/>
              </w:rPr>
              <w:t>Description of content:</w:t>
            </w:r>
            <w:r>
              <w:t xml:space="preserve"> This draft Malawi standard specifies the requirements, sampling and test methods for popcorn kernels intended for human consumption but does not include:</w:t>
            </w:r>
          </w:p>
        </w:tc>
      </w:tr>
      <w:tr w14:paraId="727FC81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DFF1C3F">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0EEB4341">
            <w:pPr>
              <w:spacing w:before="120" w:after="120"/>
              <w:rPr>
                <w:b/>
              </w:rPr>
            </w:pPr>
            <w:r>
              <w:rPr>
                <w:b/>
              </w:rPr>
              <w:t>Objective and rationale, including the nature of urgent problems where applicable:</w:t>
            </w:r>
            <w:r>
              <w:t xml:space="preserve"> Consumer information, labelling; Prevention of deceptive practices and consumer protection; Protection of human health or safety; Quality requirements; Reducing trade barriers and facilitating trade</w:t>
            </w:r>
          </w:p>
        </w:tc>
      </w:tr>
      <w:tr w14:paraId="3009B54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2B2BEC07">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41D0AF7F">
            <w:pPr>
              <w:spacing w:before="120" w:after="120"/>
              <w:rPr>
                <w:bCs/>
              </w:rPr>
            </w:pPr>
            <w:r>
              <w:rPr>
                <w:b/>
              </w:rPr>
              <w:t>Relevant documents:</w:t>
            </w:r>
            <w:r>
              <w:t xml:space="preserve"> </w:t>
            </w:r>
          </w:p>
          <w:p w14:paraId="4BE824C6">
            <w:pPr>
              <w:numPr>
                <w:ilvl w:val="0"/>
                <w:numId w:val="7"/>
              </w:numPr>
              <w:spacing w:before="120" w:after="120"/>
            </w:pPr>
            <w:r>
              <w:t>MS 19-1: Labeling of foods – General standard, Part 1: Prepackaged foods</w:t>
            </w:r>
          </w:p>
          <w:p w14:paraId="213A0B8F">
            <w:pPr>
              <w:numPr>
                <w:ilvl w:val="0"/>
                <w:numId w:val="7"/>
              </w:numPr>
              <w:spacing w:before="120" w:after="120"/>
            </w:pPr>
            <w:r>
              <w:t>MS 19-2: Labelling of foods – General standard, Part 2: Non-retail containers of food</w:t>
            </w:r>
          </w:p>
          <w:p w14:paraId="61EA9E90">
            <w:pPr>
              <w:numPr>
                <w:ilvl w:val="0"/>
                <w:numId w:val="7"/>
              </w:numPr>
              <w:spacing w:before="120" w:after="120"/>
            </w:pPr>
            <w:r>
              <w:t>MS 21: Food and food processing units – Code of hygienic conditions</w:t>
            </w:r>
          </w:p>
          <w:p w14:paraId="483388BF">
            <w:pPr>
              <w:numPr>
                <w:ilvl w:val="0"/>
                <w:numId w:val="7"/>
              </w:numPr>
              <w:spacing w:before="120" w:after="120"/>
            </w:pPr>
            <w:r>
              <w:t>MS 32: Maize grain – Specification</w:t>
            </w:r>
          </w:p>
          <w:p w14:paraId="5E8953BA">
            <w:pPr>
              <w:numPr>
                <w:ilvl w:val="0"/>
                <w:numId w:val="7"/>
              </w:numPr>
              <w:spacing w:before="120" w:after="120"/>
            </w:pPr>
            <w:r>
              <w:t>MS 145: Cereal and cereal products – Sampling</w:t>
            </w:r>
          </w:p>
          <w:p w14:paraId="031E8FE4">
            <w:pPr>
              <w:numPr>
                <w:ilvl w:val="0"/>
                <w:numId w:val="7"/>
              </w:numPr>
              <w:spacing w:before="120" w:after="120"/>
            </w:pPr>
            <w:r>
              <w:t>MS 302: Contaminants and toxins in food – General standard</w:t>
            </w:r>
          </w:p>
          <w:p w14:paraId="78BB681B">
            <w:pPr>
              <w:numPr>
                <w:ilvl w:val="0"/>
                <w:numId w:val="7"/>
              </w:numPr>
              <w:spacing w:before="120" w:after="120"/>
            </w:pPr>
            <w:r>
              <w:t>MS 1796: Pulses – Determination of impurities, size, foreign odours, insects, and species and variety – Test methods</w:t>
            </w:r>
          </w:p>
          <w:p w14:paraId="18850F9E">
            <w:pPr>
              <w:numPr>
                <w:ilvl w:val="0"/>
                <w:numId w:val="7"/>
              </w:numPr>
              <w:spacing w:before="120" w:after="120"/>
            </w:pPr>
            <w:r>
              <w:t>MS 610-1: Cereals and cereal products – Determination of moisture content (Basic reference method)</w:t>
            </w:r>
          </w:p>
          <w:p w14:paraId="5E948B8C">
            <w:pPr>
              <w:numPr>
                <w:ilvl w:val="0"/>
                <w:numId w:val="7"/>
              </w:numPr>
              <w:spacing w:before="120" w:after="120"/>
            </w:pPr>
            <w:r>
              <w:t>MS 610-2: Cereals and cereal products – Determination of moisture content – Routine reference method</w:t>
            </w:r>
          </w:p>
          <w:p w14:paraId="05249ED9">
            <w:pPr>
              <w:numPr>
                <w:ilvl w:val="0"/>
                <w:numId w:val="7"/>
              </w:numPr>
              <w:spacing w:before="120" w:after="120"/>
            </w:pPr>
            <w:r>
              <w:t>ISO 5223: Test sieves for cereals</w:t>
            </w:r>
          </w:p>
          <w:p w14:paraId="5EA44F64">
            <w:pPr>
              <w:numPr>
                <w:ilvl w:val="0"/>
                <w:numId w:val="7"/>
              </w:numPr>
              <w:spacing w:before="120" w:after="120"/>
            </w:pPr>
            <w:r>
              <w:t>ISO 6579: Microbiology of food and animal feeding stuffs – Horizontal method for the detection of Salmonella spp.</w:t>
            </w:r>
          </w:p>
          <w:p w14:paraId="4D41FC42">
            <w:pPr>
              <w:numPr>
                <w:ilvl w:val="0"/>
                <w:numId w:val="7"/>
              </w:numPr>
              <w:spacing w:before="120" w:after="120"/>
            </w:pPr>
            <w:r>
              <w:t>ISO 6888-1: Microbiology of food and animal feeding stuffs – Horizontal method for the enumeration of coagulase-positive staphylococci (Staphylococcus aureus and other species)</w:t>
            </w:r>
          </w:p>
          <w:p w14:paraId="7B0AF663">
            <w:pPr>
              <w:numPr>
                <w:ilvl w:val="0"/>
                <w:numId w:val="7"/>
              </w:numPr>
              <w:spacing w:before="120" w:after="120"/>
            </w:pPr>
            <w:r>
              <w:t>ISO 7251: Microbiology of food and animal feeding stuffs – Horizontal method for the detection and enumeration of presumptive Escherichia coli – Most probable number technique</w:t>
            </w:r>
          </w:p>
          <w:p w14:paraId="4982CF48">
            <w:pPr>
              <w:numPr>
                <w:ilvl w:val="0"/>
                <w:numId w:val="7"/>
              </w:numPr>
              <w:spacing w:before="120" w:after="120"/>
            </w:pPr>
            <w:r>
              <w:t>ISO 16050: Foodstuffs – Determination of aflatoxin B1, and the total content of aflatoxin B1, B2, G1 and G2 in cereals, nuts and derived products – High performance liquid chromatographic method</w:t>
            </w:r>
          </w:p>
          <w:p w14:paraId="29ED7A9E">
            <w:pPr>
              <w:numPr>
                <w:ilvl w:val="0"/>
                <w:numId w:val="7"/>
              </w:numPr>
              <w:spacing w:before="120" w:after="120"/>
            </w:pPr>
            <w:r>
              <w:t>ISO 21527-2: Microbiology of food and animal feeding stuffs – Horizontal method for the enumeration of yeasts and moulds – Part 2: Colony count technique in products with water activity less than or equal to 0.95</w:t>
            </w:r>
          </w:p>
          <w:p w14:paraId="09EFE587">
            <w:pPr>
              <w:numPr>
                <w:ilvl w:val="0"/>
                <w:numId w:val="7"/>
              </w:numPr>
              <w:spacing w:before="120" w:after="120"/>
              <w:ind w:left="720" w:leftChars="0" w:hanging="360" w:firstLineChars="0"/>
            </w:pPr>
            <w:r>
              <w:t>AOAC Official Method 2001.04: Determination of Fumonisins B1 and B2 in corn and corn flakes – Liquid chromatography with immunoaffinity column cleanup</w:t>
            </w:r>
          </w:p>
        </w:tc>
      </w:tr>
      <w:bookmarkEnd w:id="10"/>
      <w:tr w14:paraId="040F5C2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7F7B728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DE57ECF">
            <w:pPr>
              <w:spacing w:before="120" w:after="120"/>
            </w:pPr>
            <w:r>
              <w:rPr>
                <w:b/>
              </w:rPr>
              <w:t>Proposed date of adoption:</w:t>
            </w:r>
            <w:r>
              <w:t xml:space="preserve"> To be determined</w:t>
            </w:r>
          </w:p>
          <w:p w14:paraId="283E960E">
            <w:pPr>
              <w:spacing w:after="120"/>
            </w:pPr>
            <w:r>
              <w:rPr>
                <w:b/>
              </w:rPr>
              <w:t>Proposed date of entry into force:</w:t>
            </w:r>
            <w:r>
              <w:t xml:space="preserve"> To be determined</w:t>
            </w:r>
          </w:p>
        </w:tc>
      </w:tr>
      <w:tr w14:paraId="1877D01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C4FC99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ACD3D01">
            <w:pPr>
              <w:spacing w:before="120" w:after="120"/>
              <w:rPr>
                <w:rFonts w:hint="eastAsia" w:eastAsia="宋体"/>
                <w:bCs/>
                <w:lang w:eastAsia="zh-CN"/>
              </w:rPr>
            </w:pPr>
            <w:r>
              <w:rPr>
                <w:b/>
              </w:rPr>
              <w:t>Final date for comments:</w:t>
            </w:r>
            <w:r>
              <w:t xml:space="preserve"> 21 September 2025</w:t>
            </w:r>
            <w:r>
              <w:rPr>
                <w:rFonts w:hint="eastAsia" w:eastAsia="宋体"/>
                <w:lang w:eastAsia="zh-CN"/>
              </w:rPr>
              <w:t>；</w:t>
            </w:r>
          </w:p>
          <w:p w14:paraId="1EAA1499">
            <w:pPr>
              <w:tabs>
                <w:tab w:val="left" w:pos="1418"/>
                <w:tab w:val="left" w:pos="2127"/>
                <w:tab w:val="left" w:pos="2835"/>
                <w:tab w:val="left" w:pos="3402"/>
              </w:tabs>
              <w:spacing w:before="120" w:after="120"/>
              <w:rPr>
                <w:rFonts w:hint="eastAsia" w:eastAsia="宋体"/>
                <w:b/>
                <w:bCs/>
                <w:lang w:eastAsia="zh-CN"/>
              </w:rPr>
            </w:pPr>
            <w:r>
              <w:rPr>
                <w:b/>
                <w:bCs/>
              </w:rPr>
              <w:t>[X] 60 days from notification</w:t>
            </w:r>
            <w:r>
              <w:t xml:space="preserve"> </w:t>
            </w:r>
            <w:r>
              <w:rPr>
                <w:rFonts w:hint="eastAsia" w:eastAsia="宋体"/>
                <w:lang w:eastAsia="zh-CN"/>
              </w:rPr>
              <w:t>；</w:t>
            </w:r>
          </w:p>
          <w:p w14:paraId="7DE50520">
            <w:pPr>
              <w:spacing w:before="120" w:after="120"/>
            </w:pPr>
            <w:r>
              <w:rPr>
                <w:b/>
                <w:bCs/>
              </w:rPr>
              <w:t>Contact details of agency or authority designated to handle comments regarding the notification:</w:t>
            </w:r>
            <w:r>
              <w:t xml:space="preserve"> </w:t>
            </w:r>
          </w:p>
          <w:p w14:paraId="56028AC5">
            <w:r>
              <w:t>Director General</w:t>
            </w:r>
          </w:p>
          <w:p w14:paraId="3A928201">
            <w:r>
              <w:t>Malawi Bureau of Standards</w:t>
            </w:r>
          </w:p>
          <w:p w14:paraId="2192436C">
            <w:r>
              <w:t>P.O. Box 946</w:t>
            </w:r>
          </w:p>
          <w:p w14:paraId="4AF5414E">
            <w:r>
              <w:t>Blantyre,Malawi</w:t>
            </w:r>
          </w:p>
          <w:p w14:paraId="3DD71F28">
            <w:r>
              <w:t>Tel: + 265 887376 444</w:t>
            </w:r>
          </w:p>
          <w:p w14:paraId="00D328DD">
            <w:r>
              <w:t>Fax: + 265 1870 756</w:t>
            </w:r>
          </w:p>
          <w:p w14:paraId="4387E8EF">
            <w:pPr>
              <w:spacing w:before="120" w:after="120"/>
            </w:pPr>
            <w:r>
              <w:t xml:space="preserve">E-mail: </w:t>
            </w:r>
            <w:r>
              <w:fldChar w:fldCharType="begin"/>
            </w:r>
            <w:r>
              <w:instrText xml:space="preserve"> HYPERLINK "mailto:info@mbsmw.org" </w:instrText>
            </w:r>
            <w:r>
              <w:fldChar w:fldCharType="separate"/>
            </w:r>
            <w:r>
              <w:rPr>
                <w:color w:val="0000FF"/>
                <w:u w:val="single"/>
              </w:rPr>
              <w:t>info@mbsmw.org</w:t>
            </w:r>
            <w:r>
              <w:rPr>
                <w:color w:val="0000FF"/>
                <w:u w:val="single"/>
              </w:rPr>
              <w:fldChar w:fldCharType="end"/>
            </w:r>
          </w:p>
        </w:tc>
      </w:tr>
      <w:tr w14:paraId="3CC0F5A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4775D20D">
            <w:pPr>
              <w:keepNext/>
              <w:keepLines/>
              <w:spacing w:before="120" w:after="120"/>
              <w:jc w:val="left"/>
              <w:rPr>
                <w:b/>
              </w:rPr>
            </w:pPr>
            <w:r>
              <w:rPr>
                <w:b/>
              </w:rPr>
              <w:t>11.</w:t>
            </w:r>
          </w:p>
        </w:tc>
        <w:tc>
          <w:tcPr>
            <w:tcW w:w="8546" w:type="dxa"/>
            <w:tcBorders>
              <w:top w:val="single" w:color="auto" w:sz="6" w:space="0"/>
            </w:tcBorders>
            <w:shd w:val="clear" w:color="auto" w:fill="auto"/>
          </w:tcPr>
          <w:p w14:paraId="0E080734">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4D088EFF">
            <w:pPr>
              <w:rPr>
                <w:iCs/>
              </w:rPr>
            </w:pPr>
            <w:r>
              <w:rPr>
                <w:iCs/>
              </w:rPr>
              <w:t>Director General</w:t>
            </w:r>
          </w:p>
          <w:p w14:paraId="5C62A62D">
            <w:pPr>
              <w:rPr>
                <w:iCs/>
              </w:rPr>
            </w:pPr>
            <w:r>
              <w:rPr>
                <w:iCs/>
              </w:rPr>
              <w:t>Malawi Bureau of Standards</w:t>
            </w:r>
          </w:p>
          <w:p w14:paraId="4F8DE882">
            <w:pPr>
              <w:rPr>
                <w:iCs/>
              </w:rPr>
            </w:pPr>
            <w:r>
              <w:rPr>
                <w:iCs/>
              </w:rPr>
              <w:t>P.O Box 946</w:t>
            </w:r>
          </w:p>
          <w:p w14:paraId="121DAD1A">
            <w:pPr>
              <w:rPr>
                <w:iCs/>
              </w:rPr>
            </w:pPr>
            <w:r>
              <w:rPr>
                <w:iCs/>
              </w:rPr>
              <w:t>Blantyre,Malawi</w:t>
            </w:r>
          </w:p>
          <w:p w14:paraId="17868B2D">
            <w:pPr>
              <w:rPr>
                <w:iCs/>
              </w:rPr>
            </w:pPr>
            <w:r>
              <w:rPr>
                <w:iCs/>
              </w:rPr>
              <w:t>Tel: + 265 887376 444</w:t>
            </w:r>
          </w:p>
          <w:p w14:paraId="1F95F0D3">
            <w:pPr>
              <w:rPr>
                <w:iCs/>
              </w:rPr>
            </w:pPr>
            <w:r>
              <w:rPr>
                <w:iCs/>
              </w:rPr>
              <w:t>Fax: + 265 1870 756</w:t>
            </w:r>
          </w:p>
          <w:p w14:paraId="25643420">
            <w:pPr>
              <w:numPr>
                <w:ilvl w:val="0"/>
                <w:numId w:val="8"/>
              </w:numPr>
              <w:pBdr>
                <w:top w:val="none" w:color="auto" w:sz="0" w:space="4"/>
                <w:bottom w:val="none" w:color="auto" w:sz="0" w:space="4"/>
              </w:pBdr>
              <w:rPr>
                <w:iCs/>
                <w:color w:val="0000FF"/>
                <w:u w:val="single"/>
              </w:rPr>
            </w:pPr>
            <w:r>
              <w:rPr>
                <w:iCs/>
              </w:rPr>
              <w:t xml:space="preserve">mail: </w:t>
            </w:r>
            <w:r>
              <w:fldChar w:fldCharType="begin"/>
            </w:r>
            <w:r>
              <w:instrText xml:space="preserve"> HYPERLINK "mailto:info@mbsmw.org" </w:instrText>
            </w:r>
            <w:r>
              <w:fldChar w:fldCharType="separate"/>
            </w:r>
            <w:r>
              <w:rPr>
                <w:iCs/>
                <w:color w:val="0000FF"/>
                <w:u w:val="single"/>
              </w:rPr>
              <w:t>info@mbsmw.org</w:t>
            </w:r>
            <w:r>
              <w:rPr>
                <w:iCs/>
                <w:color w:val="0000FF"/>
                <w:u w:val="single"/>
              </w:rPr>
              <w:fldChar w:fldCharType="end"/>
            </w:r>
          </w:p>
          <w:p w14:paraId="23F70027">
            <w:pPr>
              <w:pBdr>
                <w:top w:val="none" w:color="auto" w:sz="0" w:space="4"/>
                <w:bottom w:val="none" w:color="auto" w:sz="0" w:space="4"/>
              </w:pBdr>
            </w:pPr>
          </w:p>
          <w:p w14:paraId="4F799770">
            <w:pPr>
              <w:pBdr>
                <w:top w:val="none" w:color="auto" w:sz="0" w:space="4"/>
                <w:bottom w:val="none" w:color="auto" w:sz="0" w:space="4"/>
              </w:pBdr>
              <w:rPr>
                <w:iCs/>
              </w:rPr>
            </w:pPr>
            <w:r>
              <w:fldChar w:fldCharType="begin"/>
            </w:r>
            <w:r>
              <w:instrText xml:space="preserve"> HYPERLINK "https://members.wto.org/crnattachments/2025/TBT/MWI/25_04764_00_e.pdf" \t "_blank" </w:instrText>
            </w:r>
            <w:r>
              <w:fldChar w:fldCharType="separate"/>
            </w:r>
            <w:r>
              <w:rPr>
                <w:iCs/>
                <w:color w:val="0000FF"/>
                <w:u w:val="single"/>
              </w:rPr>
              <w:t>https://members.wto.org/crnattachments/2025/TBT/MWI/25_04764_00_e.pdf</w:t>
            </w:r>
            <w:r>
              <w:rPr>
                <w:iCs/>
                <w:color w:val="0000FF"/>
                <w:u w:val="single"/>
              </w:rPr>
              <w:fldChar w:fldCharType="end"/>
            </w:r>
          </w:p>
          <w:p w14:paraId="55F0FD8C">
            <w:pPr>
              <w:keepNext/>
              <w:keepLines/>
              <w:numPr>
                <w:ilvl w:val="0"/>
                <w:numId w:val="0"/>
              </w:numPr>
              <w:pBdr>
                <w:top w:val="none" w:color="auto" w:sz="0" w:space="4"/>
              </w:pBdr>
              <w:spacing w:after="120"/>
              <w:jc w:val="both"/>
              <w:rPr>
                <w:iCs/>
                <w:color w:val="0000FF"/>
                <w:u w:val="single"/>
              </w:rPr>
            </w:pPr>
          </w:p>
        </w:tc>
      </w:tr>
    </w:tbl>
    <w:p w14:paraId="6FC23A2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A6DE4">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D2B1">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2FE5A1">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C6BD73">
    <w:pPr>
      <w:pStyle w:val="58"/>
      <w:pBdr>
        <w:bottom w:val="single" w:color="auto" w:sz="4" w:space="1"/>
      </w:pBdr>
      <w:tabs>
        <w:tab w:val="clear" w:pos="4513"/>
        <w:tab w:val="clear" w:pos="9027"/>
      </w:tabs>
      <w:jc w:val="center"/>
    </w:pPr>
    <w:bookmarkStart w:id="9" w:name="spsSymbolHeader"/>
    <w:r>
      <w:t>G/TBT/N/MWI/191</w:t>
    </w:r>
    <w:bookmarkEnd w:id="9"/>
  </w:p>
  <w:p w14:paraId="7F5ECDE6">
    <w:pPr>
      <w:pStyle w:val="58"/>
      <w:pBdr>
        <w:bottom w:val="single" w:color="auto" w:sz="4" w:space="1"/>
      </w:pBdr>
      <w:tabs>
        <w:tab w:val="clear" w:pos="4513"/>
        <w:tab w:val="clear" w:pos="9027"/>
      </w:tabs>
      <w:jc w:val="center"/>
    </w:pPr>
  </w:p>
  <w:p w14:paraId="730DEAA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77F13EC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D912B">
    <w:pPr>
      <w:pStyle w:val="58"/>
      <w:pBdr>
        <w:bottom w:val="single" w:color="auto" w:sz="4" w:space="1"/>
      </w:pBdr>
      <w:tabs>
        <w:tab w:val="clear" w:pos="4513"/>
        <w:tab w:val="clear" w:pos="9027"/>
      </w:tabs>
      <w:jc w:val="center"/>
    </w:pPr>
    <w:r>
      <w:t>tbtSymbol</w:t>
    </w:r>
  </w:p>
  <w:p w14:paraId="2276F7F0">
    <w:pPr>
      <w:pStyle w:val="58"/>
      <w:pBdr>
        <w:bottom w:val="single" w:color="auto" w:sz="4" w:space="1"/>
      </w:pBdr>
      <w:tabs>
        <w:tab w:val="clear" w:pos="4513"/>
        <w:tab w:val="clear" w:pos="9027"/>
      </w:tabs>
      <w:jc w:val="center"/>
    </w:pPr>
  </w:p>
  <w:p w14:paraId="49127972">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4C9DA49">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56EEA22">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2E7FF5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693B5D15">
          <w:pPr>
            <w:jc w:val="right"/>
            <w:rPr>
              <w:b/>
              <w:color w:val="FF0000"/>
              <w:szCs w:val="16"/>
            </w:rPr>
          </w:pPr>
        </w:p>
      </w:tc>
    </w:tr>
    <w:bookmarkEnd w:id="0"/>
    <w:tr w14:paraId="46F70A90">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B18D32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2692681">
          <w:pPr>
            <w:jc w:val="right"/>
            <w:rPr>
              <w:b/>
              <w:szCs w:val="16"/>
            </w:rPr>
          </w:pPr>
        </w:p>
      </w:tc>
    </w:tr>
    <w:tr w14:paraId="48EEC0A1">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E5D1F24">
          <w:pPr>
            <w:jc w:val="left"/>
            <w:rPr>
              <w:lang w:eastAsia="en-GB"/>
            </w:rPr>
          </w:pPr>
        </w:p>
      </w:tc>
      <w:tc>
        <w:tcPr>
          <w:tcW w:w="5448" w:type="dxa"/>
          <w:gridSpan w:val="2"/>
          <w:shd w:val="clear" w:color="auto" w:fill="FFFFFF"/>
          <w:tcMar>
            <w:left w:w="108" w:type="dxa"/>
            <w:right w:w="108" w:type="dxa"/>
          </w:tcMar>
        </w:tcPr>
        <w:p w14:paraId="25805FFA">
          <w:pPr>
            <w:jc w:val="right"/>
            <w:rPr>
              <w:rFonts w:hint="eastAsia" w:eastAsia="宋体"/>
              <w:b/>
              <w:szCs w:val="16"/>
              <w:lang w:val="en-US" w:eastAsia="zh-CN"/>
            </w:rPr>
          </w:pPr>
          <w:bookmarkStart w:id="1" w:name="bmkSymbols"/>
          <w:r>
            <w:rPr>
              <w:b/>
              <w:szCs w:val="16"/>
            </w:rPr>
            <w:t>G/TBT/N/MWI/</w:t>
          </w:r>
          <w:r>
            <w:rPr>
              <w:rFonts w:hint="eastAsia" w:eastAsia="宋体"/>
              <w:b/>
              <w:szCs w:val="16"/>
              <w:lang w:val="en-US" w:eastAsia="zh-CN"/>
            </w:rPr>
            <w:t>2</w:t>
          </w:r>
          <w:bookmarkEnd w:id="1"/>
          <w:r>
            <w:rPr>
              <w:rFonts w:hint="eastAsia" w:eastAsia="宋体"/>
              <w:b/>
              <w:szCs w:val="16"/>
              <w:lang w:val="en-US" w:eastAsia="zh-CN"/>
            </w:rPr>
            <w:t>29</w:t>
          </w:r>
        </w:p>
      </w:tc>
    </w:tr>
    <w:tr w14:paraId="72C6D265">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0A60ACEB"/>
      </w:tc>
      <w:tc>
        <w:tcPr>
          <w:tcW w:w="5448" w:type="dxa"/>
          <w:gridSpan w:val="2"/>
          <w:shd w:val="clear" w:color="auto" w:fill="FFFFFF"/>
          <w:tcMar>
            <w:left w:w="108" w:type="dxa"/>
            <w:right w:w="108" w:type="dxa"/>
          </w:tcMar>
          <w:vAlign w:val="center"/>
        </w:tcPr>
        <w:p w14:paraId="39D67156">
          <w:pPr>
            <w:jc w:val="right"/>
            <w:rPr>
              <w:szCs w:val="16"/>
            </w:rPr>
          </w:pPr>
          <w:bookmarkStart w:id="2" w:name="bmkDate"/>
          <w:bookmarkStart w:id="3" w:name="spsDateDistribution"/>
          <w:r>
            <w:rPr>
              <w:szCs w:val="16"/>
            </w:rPr>
            <w:t>23 July 2025</w:t>
          </w:r>
          <w:bookmarkEnd w:id="2"/>
          <w:bookmarkEnd w:id="3"/>
        </w:p>
      </w:tc>
    </w:tr>
    <w:tr w14:paraId="5B583C6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50826AF2">
          <w:pPr>
            <w:jc w:val="left"/>
            <w:rPr>
              <w:b/>
            </w:rPr>
          </w:pPr>
          <w:bookmarkStart w:id="4" w:name="bmkSerial"/>
          <w:r>
            <w:rPr>
              <w:b w:val="0"/>
              <w:color w:val="FF0000"/>
            </w:rPr>
            <w:t>(25-</w:t>
          </w:r>
          <w:r>
            <w:rPr>
              <w:rFonts w:hint="eastAsia" w:eastAsia="宋体"/>
              <w:b w:val="0"/>
              <w:color w:val="FF0000"/>
              <w:lang w:val="en-US" w:eastAsia="zh-CN"/>
            </w:rPr>
            <w:t>4730</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364DA24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2F6FCD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631188B1">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32B5C944">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584D7980">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72AAE4"/>
    <w:multiLevelType w:val="singleLevel"/>
    <w:tmpl w:val="B372AAE4"/>
    <w:lvl w:ilvl="0" w:tentative="0">
      <w:start w:val="5"/>
      <w:numFmt w:val="upperLetter"/>
      <w:suff w:val="nothing"/>
      <w:lvlText w:val="%1-"/>
      <w:lvlJc w:val="left"/>
    </w:lvl>
  </w:abstractNum>
  <w:abstractNum w:abstractNumId="1">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2">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3">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4">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5">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6">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B3961"/>
    <w:rsid w:val="001E291F"/>
    <w:rsid w:val="00204CC3"/>
    <w:rsid w:val="00205F1B"/>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20D2"/>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A2E"/>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2280"/>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1F41"/>
    <w:rsid w:val="00C3241C"/>
    <w:rsid w:val="00C379C8"/>
    <w:rsid w:val="00C40E47"/>
    <w:rsid w:val="00C43456"/>
    <w:rsid w:val="00C43F2C"/>
    <w:rsid w:val="00C46583"/>
    <w:rsid w:val="00C47FCA"/>
    <w:rsid w:val="00C51B50"/>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9FD3055"/>
    <w:rsid w:val="0CB72258"/>
    <w:rsid w:val="11A91090"/>
    <w:rsid w:val="271C2E32"/>
    <w:rsid w:val="276F5B41"/>
    <w:rsid w:val="29F74D37"/>
    <w:rsid w:val="3E761725"/>
    <w:rsid w:val="4132417F"/>
    <w:rsid w:val="4E902E4B"/>
    <w:rsid w:val="579C6EAE"/>
    <w:rsid w:val="597A7C28"/>
    <w:rsid w:val="6EE15801"/>
    <w:rsid w:val="76FF7334"/>
    <w:rsid w:val="783C5347"/>
    <w:rsid w:val="7BCF70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01D52AF7-CC45-4544-ABF0-B16A717200B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569</Words>
  <Characters>3246</Characters>
  <Lines>23</Lines>
  <Paragraphs>6</Paragraphs>
  <TotalTime>0</TotalTime>
  <ScaleCrop>false</ScaleCrop>
  <LinksUpToDate>false</LinksUpToDate>
  <CharactersWithSpaces>3763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2025-06-10T14:13:00Z</dcterms:created>
  <dc:creator>mark louie medidas</dc:creator>
  <dc:description>LDIMD - DTU</dc:description>
  <cp:lastModifiedBy> 譞譞</cp:lastModifiedBy>
  <dcterms:modified xsi:type="dcterms:W3CDTF">2025-07-23T17:06:57Z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A4DFA33984334C98BDC7C25919D49BD8_12</vt:lpwstr>
  </property>
</Properties>
</file>