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Shelled beans "Vigna spp., Phaseolus spp.", prepared or preserved otherwise than by vinegar or acetic acid (excl. frozen) (HS code(s): 200551); Fruits. Vegetables (ICS code(s): 67.080)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125F09A7">
            <w:pPr>
              <w:spacing w:before="120" w:after="120"/>
            </w:pPr>
            <w:r>
              <w:rPr>
                <w:b/>
              </w:rPr>
              <w:t>Title, number of pages and language(s) of the notified document:</w:t>
            </w:r>
            <w:r>
              <w:t xml:space="preserve"> DMS 2277:2025 : Quick frozen green beans and quick frozen wax bean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requirements, sampling and test methods for quick frozen green beans and quick frozen wax beans of varieties of the species </w:t>
            </w:r>
            <w:r>
              <w:rPr>
                <w:i/>
                <w:iCs/>
              </w:rPr>
              <w:t>Phaseolus vulgaris</w:t>
            </w:r>
            <w:r>
              <w:t xml:space="preserve"> L. and </w:t>
            </w:r>
            <w:r>
              <w:rPr>
                <w:i/>
                <w:iCs/>
              </w:rPr>
              <w:t>Phaseolus coccineus</w:t>
            </w:r>
            <w:r>
              <w:t xml:space="preserve"> L. for direct consumption without further processing, except for size-grading or repacking, if required. </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6BF3D722">
            <w:pPr>
              <w:spacing w:before="120" w:after="120"/>
              <w:rPr>
                <w:bCs/>
              </w:rPr>
            </w:pPr>
            <w:r>
              <w:rPr>
                <w:b/>
              </w:rPr>
              <w:t>Relevant documents:</w:t>
            </w:r>
            <w:r>
              <w:t xml:space="preserve"> </w:t>
            </w:r>
          </w:p>
          <w:p w14:paraId="1DF5FE7F">
            <w:pPr>
              <w:numPr>
                <w:ilvl w:val="0"/>
                <w:numId w:val="7"/>
              </w:numPr>
              <w:spacing w:before="120" w:after="120"/>
            </w:pPr>
            <w:r>
              <w:t>MS 19-1: Labeling of foods – General standard, Part 1: Prepackaged foods</w:t>
            </w:r>
          </w:p>
          <w:p w14:paraId="122DA8FF">
            <w:pPr>
              <w:numPr>
                <w:ilvl w:val="0"/>
                <w:numId w:val="7"/>
              </w:numPr>
              <w:spacing w:before="120" w:after="120"/>
            </w:pPr>
            <w:r>
              <w:t>MS 19-2: Labelling of foods – General standard, Part 2: Non-retail containers of food</w:t>
            </w:r>
          </w:p>
          <w:p w14:paraId="1F80B08D">
            <w:pPr>
              <w:numPr>
                <w:ilvl w:val="0"/>
                <w:numId w:val="7"/>
              </w:numPr>
              <w:spacing w:before="120" w:after="120"/>
            </w:pPr>
            <w:r>
              <w:t>MS 188: Edible salt – Specification</w:t>
            </w:r>
          </w:p>
          <w:p w14:paraId="08C73A4C">
            <w:pPr>
              <w:numPr>
                <w:ilvl w:val="0"/>
                <w:numId w:val="7"/>
              </w:numPr>
              <w:spacing w:before="120" w:after="120"/>
            </w:pPr>
            <w:r>
              <w:t>MS 237: Food additives – General standard</w:t>
            </w:r>
          </w:p>
          <w:p w14:paraId="50F4EECA">
            <w:pPr>
              <w:numPr>
                <w:ilvl w:val="0"/>
                <w:numId w:val="7"/>
              </w:numPr>
              <w:spacing w:before="120" w:after="120"/>
            </w:pPr>
            <w:r>
              <w:t>MS 302: Contaminants and toxins in food – General standard</w:t>
            </w:r>
          </w:p>
          <w:p w14:paraId="58FC2E28">
            <w:pPr>
              <w:numPr>
                <w:ilvl w:val="0"/>
                <w:numId w:val="7"/>
              </w:numPr>
              <w:spacing w:before="120" w:after="120"/>
            </w:pPr>
            <w:r>
              <w:t>MS 935: Principles and guidelines for the establishment and application of microbiological criteria related to foods;</w:t>
            </w:r>
          </w:p>
          <w:p w14:paraId="69041998">
            <w:pPr>
              <w:numPr>
                <w:ilvl w:val="0"/>
                <w:numId w:val="7"/>
              </w:numPr>
              <w:spacing w:before="120" w:after="120"/>
            </w:pPr>
            <w:r>
              <w:t>MS 1112: Code of hygienic practice for fresh fruits and vegetables</w:t>
            </w:r>
          </w:p>
          <w:p w14:paraId="3FE4963A">
            <w:pPr>
              <w:numPr>
                <w:ilvl w:val="0"/>
                <w:numId w:val="7"/>
              </w:numPr>
              <w:spacing w:before="120" w:after="120"/>
            </w:pPr>
            <w:r>
              <w:t>MS 1520: Fresh fruits and vegetables – Sampling</w:t>
            </w:r>
          </w:p>
          <w:p w14:paraId="77B6F14C">
            <w:pPr>
              <w:numPr>
                <w:ilvl w:val="0"/>
                <w:numId w:val="7"/>
              </w:numPr>
              <w:spacing w:before="120" w:after="120"/>
            </w:pPr>
            <w:r>
              <w:t>MS 1753: Fruits, vegetables and derived products – Determination of lead content – Flameless atomic; and</w:t>
            </w:r>
          </w:p>
          <w:p w14:paraId="0CF47DAC">
            <w:pPr>
              <w:numPr>
                <w:ilvl w:val="0"/>
                <w:numId w:val="7"/>
              </w:numPr>
              <w:spacing w:before="120" w:after="120"/>
            </w:pPr>
            <w:r>
              <w:t>MS 1763: Guide to prepacking fruits and vegetables</w:t>
            </w:r>
          </w:p>
          <w:p w14:paraId="6B692D58">
            <w:pPr>
              <w:numPr>
                <w:ilvl w:val="0"/>
                <w:numId w:val="7"/>
              </w:numPr>
              <w:spacing w:before="120" w:after="120"/>
            </w:pPr>
            <w:r>
              <w:t>ISO 6579-1: Microbiology of the food chain – Horizontal method for the detection, enumeration and serotyping of Salmonella, Part 1: Detection of Salmonella spp.</w:t>
            </w:r>
          </w:p>
          <w:p w14:paraId="633266D9">
            <w:pPr>
              <w:numPr>
                <w:ilvl w:val="0"/>
                <w:numId w:val="7"/>
              </w:numPr>
              <w:spacing w:before="120" w:after="120"/>
            </w:pPr>
            <w:r>
              <w:t>ISO 11290-1: Microbiology of the food chain – Horizontal method for the detection and enumeration of Listeria monocytogenes and of Listeria spp., Part 1: Detection method</w:t>
            </w:r>
          </w:p>
          <w:p w14:paraId="7F3C689B">
            <w:pPr>
              <w:numPr>
                <w:ilvl w:val="0"/>
                <w:numId w:val="7"/>
              </w:numPr>
              <w:spacing w:before="120" w:after="120"/>
            </w:pPr>
            <w:r>
              <w:t>ISO 15213-2: Microbiology of the food chain – Horizontal method for the detection and enumeration of Clostridium spp., Part 2: Enumeration of Clostridium perfringens by colony-count technique</w:t>
            </w:r>
          </w:p>
          <w:p w14:paraId="7EA8A791">
            <w:pPr>
              <w:spacing w:before="120" w:after="120"/>
              <w:ind w:left="720" w:leftChars="0"/>
            </w:pPr>
            <w:r>
              <w:t>ISO 16654: Microbiology of food and animal feeding stuffs- Horizontal method for the detection of Escherichia coli O157</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4852E661">
            <w:pPr>
              <w:pBdr>
                <w:top w:val="none" w:color="auto" w:sz="0" w:space="4"/>
                <w:bottom w:val="none" w:color="auto" w:sz="0" w:space="4"/>
              </w:pBdr>
              <w:rPr>
                <w:iCs/>
              </w:rPr>
            </w:pPr>
            <w:r>
              <w:fldChar w:fldCharType="begin"/>
            </w:r>
            <w:r>
              <w:instrText xml:space="preserve"> HYPERLINK "https://members.wto.org/crnattachments/2025/TBT/MWI/25_04766_00_e.pdf" \t "_blank" </w:instrText>
            </w:r>
            <w:r>
              <w:fldChar w:fldCharType="separate"/>
            </w:r>
            <w:r>
              <w:rPr>
                <w:iCs/>
                <w:color w:val="0000FF"/>
                <w:u w:val="single"/>
              </w:rPr>
              <w:t>https://members.wto.org/crnattachments/2025/TBT/MWI/25_04766_00_e.pdf</w:t>
            </w:r>
            <w:r>
              <w:rPr>
                <w:iCs/>
                <w:color w:val="0000FF"/>
                <w:u w:val="single"/>
              </w:rPr>
              <w:fldChar w:fldCharType="end"/>
            </w:r>
          </w:p>
          <w:p w14:paraId="4649D7B7">
            <w:pPr>
              <w:keepNext/>
              <w:keepLines/>
              <w:numPr>
                <w:ilvl w:val="0"/>
                <w:numId w:val="0"/>
              </w:numPr>
              <w:pBdr>
                <w:top w:val="none" w:color="auto" w:sz="0" w:space="4"/>
              </w:pBdr>
              <w:spacing w:after="120"/>
              <w:jc w:val="both"/>
              <w:rPr>
                <w:iCs/>
                <w:color w:val="0000FF"/>
                <w:u w:val="single"/>
              </w:rPr>
            </w:pPr>
          </w:p>
        </w:tc>
      </w:tr>
    </w:tbl>
    <w:p w14:paraId="496A3D8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28</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29F74D37"/>
    <w:rsid w:val="3E761725"/>
    <w:rsid w:val="4132417F"/>
    <w:rsid w:val="4E902E4B"/>
    <w:rsid w:val="579C6EAE"/>
    <w:rsid w:val="6EE15801"/>
    <w:rsid w:val="76FF7334"/>
    <w:rsid w:val="783C5347"/>
    <w:rsid w:val="7BC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522</Words>
  <Characters>2956</Characters>
  <Lines>23</Lines>
  <Paragraphs>6</Paragraphs>
  <TotalTime>0</TotalTime>
  <ScaleCrop>false</ScaleCrop>
  <LinksUpToDate>false</LinksUpToDate>
  <CharactersWithSpaces>3427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2025-07-23T17:05:02Z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