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DB10D0">
      <w:pPr>
        <w:pStyle w:val="84"/>
        <w:rPr>
          <w:caps w:val="0"/>
          <w:kern w:val="0"/>
        </w:rPr>
      </w:pPr>
      <w:r>
        <w:rPr>
          <w:caps w:val="0"/>
          <w:kern w:val="0"/>
        </w:rPr>
        <w:t>NOTIFICATION</w:t>
      </w:r>
    </w:p>
    <w:p w14:paraId="7920C9B6">
      <w:pPr>
        <w:jc w:val="center"/>
      </w:pPr>
      <w:r>
        <w:t>The following notification is being circulated in accordance with Article 10.6</w:t>
      </w:r>
    </w:p>
    <w:p w14:paraId="79E73643"/>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27096E4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36199EF4">
            <w:pPr>
              <w:spacing w:before="120" w:after="120"/>
              <w:jc w:val="left"/>
            </w:pPr>
            <w:r>
              <w:rPr>
                <w:b/>
              </w:rPr>
              <w:t>1.</w:t>
            </w:r>
          </w:p>
        </w:tc>
        <w:tc>
          <w:tcPr>
            <w:tcW w:w="8546" w:type="dxa"/>
            <w:tcBorders>
              <w:bottom w:val="single" w:color="auto" w:sz="6" w:space="0"/>
            </w:tcBorders>
            <w:shd w:val="clear" w:color="auto" w:fill="auto"/>
          </w:tcPr>
          <w:p w14:paraId="0FF3BECD">
            <w:pPr>
              <w:spacing w:before="120" w:after="120"/>
            </w:pPr>
            <w:r>
              <w:rPr>
                <w:b/>
              </w:rPr>
              <w:t>Notifying Member:</w:t>
            </w:r>
            <w:r>
              <w:t xml:space="preserve"> </w:t>
            </w:r>
            <w:r>
              <w:rPr>
                <w:u w:val="single"/>
              </w:rPr>
              <w:t>MALAWI</w:t>
            </w:r>
          </w:p>
          <w:p w14:paraId="14EB6EE1">
            <w:pPr>
              <w:spacing w:after="120"/>
            </w:pPr>
            <w:r>
              <w:rPr>
                <w:b/>
              </w:rPr>
              <w:t>If applicable, name of local government involved (Article 3.2 and 7.2):</w:t>
            </w:r>
            <w:r>
              <w:t xml:space="preserve"> </w:t>
            </w:r>
          </w:p>
        </w:tc>
      </w:tr>
      <w:tr w14:paraId="0C31489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FD77627">
            <w:pPr>
              <w:spacing w:before="120" w:after="120"/>
              <w:jc w:val="left"/>
            </w:pPr>
            <w:r>
              <w:rPr>
                <w:b/>
              </w:rPr>
              <w:t>2.</w:t>
            </w:r>
          </w:p>
        </w:tc>
        <w:tc>
          <w:tcPr>
            <w:tcW w:w="8546" w:type="dxa"/>
            <w:tcBorders>
              <w:top w:val="single" w:color="auto" w:sz="6" w:space="0"/>
              <w:bottom w:val="single" w:color="auto" w:sz="6" w:space="0"/>
            </w:tcBorders>
            <w:shd w:val="clear" w:color="auto" w:fill="auto"/>
          </w:tcPr>
          <w:p w14:paraId="77DC7508">
            <w:pPr>
              <w:spacing w:before="120" w:after="120"/>
            </w:pPr>
            <w:r>
              <w:rPr>
                <w:b/>
              </w:rPr>
              <w:t>Agency responsible:</w:t>
            </w:r>
            <w:r>
              <w:t xml:space="preserve"> </w:t>
            </w:r>
          </w:p>
          <w:p w14:paraId="2740AFC1">
            <w:pPr>
              <w:spacing w:after="120"/>
            </w:pPr>
            <w:r>
              <w:t>Malawi Bureau of Standards</w:t>
            </w:r>
          </w:p>
          <w:p w14:paraId="3F0DB6F9">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477445E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9BADCC3">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0B4141B">
            <w:pPr>
              <w:spacing w:before="120" w:after="120"/>
            </w:pPr>
            <w:r>
              <w:rPr>
                <w:b/>
              </w:rPr>
              <w:t>Notified under Article 2.9.2 [X], 2.10.1 [ ], 5.6.2 [ ], 5.7.1 [ ], 3.2 [ ], 7.2 [ ], other:</w:t>
            </w:r>
            <w:r>
              <w:t xml:space="preserve"> </w:t>
            </w:r>
          </w:p>
        </w:tc>
      </w:tr>
      <w:tr w14:paraId="732FD84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2AA4638">
            <w:pPr>
              <w:spacing w:before="120" w:after="120"/>
              <w:jc w:val="left"/>
            </w:pPr>
            <w:r>
              <w:rPr>
                <w:b/>
              </w:rPr>
              <w:t>4.</w:t>
            </w:r>
          </w:p>
        </w:tc>
        <w:tc>
          <w:tcPr>
            <w:tcW w:w="8546" w:type="dxa"/>
            <w:tcBorders>
              <w:top w:val="single" w:color="auto" w:sz="6" w:space="0"/>
              <w:bottom w:val="single" w:color="auto" w:sz="6" w:space="0"/>
            </w:tcBorders>
            <w:shd w:val="clear" w:color="auto" w:fill="auto"/>
          </w:tcPr>
          <w:p w14:paraId="6954BEFD">
            <w:pPr>
              <w:spacing w:before="120" w:after="120"/>
            </w:pPr>
            <w:r>
              <w:rPr>
                <w:b/>
              </w:rPr>
              <w:t>Products covered (HS or CCCN where applicable, otherwise national tariff heading. ICS numbers may be provided in addition, where applicable):</w:t>
            </w:r>
            <w:r>
              <w:t xml:space="preserve"> EDIBLE FRUIT AND NUTS; PEEL OF CITRUS FRUIT OR MELONS (HS code(s): 08); Butter (ICS code(s): 67.100.20)</w:t>
            </w:r>
          </w:p>
        </w:tc>
      </w:tr>
      <w:tr w14:paraId="34CEF3B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D894356">
            <w:pPr>
              <w:spacing w:before="120" w:after="120"/>
              <w:jc w:val="left"/>
            </w:pPr>
            <w:r>
              <w:rPr>
                <w:b/>
              </w:rPr>
              <w:t>5.</w:t>
            </w:r>
          </w:p>
        </w:tc>
        <w:tc>
          <w:tcPr>
            <w:tcW w:w="8546" w:type="dxa"/>
            <w:tcBorders>
              <w:top w:val="single" w:color="auto" w:sz="6" w:space="0"/>
              <w:bottom w:val="single" w:color="auto" w:sz="6" w:space="0"/>
            </w:tcBorders>
            <w:shd w:val="clear" w:color="auto" w:fill="auto"/>
          </w:tcPr>
          <w:p w14:paraId="35A87B9C">
            <w:pPr>
              <w:spacing w:before="120" w:after="120"/>
            </w:pPr>
            <w:r>
              <w:rPr>
                <w:b/>
              </w:rPr>
              <w:t>Title, number of pages and language(s) of the notified document:</w:t>
            </w:r>
            <w:r>
              <w:t xml:space="preserve"> DMS 2053:2024 Cashew butter – Specification; (5 page(s), in English)</w:t>
            </w:r>
          </w:p>
        </w:tc>
      </w:tr>
      <w:tr w14:paraId="55E359F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2677A09">
            <w:pPr>
              <w:spacing w:before="120" w:after="120"/>
              <w:jc w:val="left"/>
              <w:rPr>
                <w:b/>
              </w:rPr>
            </w:pPr>
            <w:bookmarkStart w:id="10" w:name="_GoBack" w:colFirst="0" w:colLast="1"/>
            <w:r>
              <w:rPr>
                <w:b/>
              </w:rPr>
              <w:t>6.</w:t>
            </w:r>
          </w:p>
        </w:tc>
        <w:tc>
          <w:tcPr>
            <w:tcW w:w="8546" w:type="dxa"/>
            <w:tcBorders>
              <w:top w:val="single" w:color="auto" w:sz="6" w:space="0"/>
              <w:bottom w:val="single" w:color="auto" w:sz="6" w:space="0"/>
            </w:tcBorders>
            <w:shd w:val="clear" w:color="auto" w:fill="auto"/>
            <w:vAlign w:val="top"/>
          </w:tcPr>
          <w:p w14:paraId="56C16F9A">
            <w:pPr>
              <w:spacing w:before="120" w:after="120"/>
              <w:rPr>
                <w:b/>
              </w:rPr>
            </w:pPr>
            <w:r>
              <w:rPr>
                <w:b/>
              </w:rPr>
              <w:t>Description of content:</w:t>
            </w:r>
            <w:r>
              <w:t xml:space="preserve"> This draft Malawi standard specifies the requirements, and methods of sampling and test for cashew butter derived from kernels of cashew tree (</w:t>
            </w:r>
            <w:r>
              <w:rPr>
                <w:i/>
                <w:iCs/>
              </w:rPr>
              <w:t>Anacardium occidentale</w:t>
            </w:r>
            <w:r>
              <w:t>, L) intended for human consumption.</w:t>
            </w:r>
          </w:p>
        </w:tc>
      </w:tr>
      <w:tr w14:paraId="727FC81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DFF1C3F">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0EEB4341">
            <w:pPr>
              <w:spacing w:before="120" w:after="120"/>
              <w:rPr>
                <w:b/>
              </w:rPr>
            </w:pPr>
            <w:r>
              <w:rPr>
                <w:b/>
              </w:rPr>
              <w:t>Objective and rationale, including the nature of urgent problems where applicable:</w:t>
            </w:r>
            <w:r>
              <w:t xml:space="preserve"> Consumer information, labelling; Prevention of deceptive practices and consumer protection; Protection of human health or safety; Quality requirements; Reducing trade barriers and facilitating trade</w:t>
            </w:r>
          </w:p>
        </w:tc>
      </w:tr>
      <w:tr w14:paraId="3009B54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2B2BEC07">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166E30CB">
            <w:pPr>
              <w:spacing w:before="120" w:after="120"/>
              <w:rPr>
                <w:bCs/>
              </w:rPr>
            </w:pPr>
            <w:r>
              <w:rPr>
                <w:b/>
              </w:rPr>
              <w:t>Relevant documents:</w:t>
            </w:r>
            <w:r>
              <w:t xml:space="preserve"> </w:t>
            </w:r>
          </w:p>
          <w:p w14:paraId="16814AC9">
            <w:pPr>
              <w:numPr>
                <w:ilvl w:val="0"/>
                <w:numId w:val="7"/>
              </w:numPr>
              <w:spacing w:before="120" w:after="120"/>
            </w:pPr>
            <w:r>
              <w:t>MS 19-1: Labeling of foods – General standard, Part 1: Prepackaged foods</w:t>
            </w:r>
          </w:p>
          <w:p w14:paraId="0ECADD0A">
            <w:pPr>
              <w:numPr>
                <w:ilvl w:val="0"/>
                <w:numId w:val="7"/>
              </w:numPr>
              <w:spacing w:before="120" w:after="120"/>
            </w:pPr>
            <w:r>
              <w:t>MS 19-2: Labelling of foods – General standard, Part 2: Non-retail containers of food</w:t>
            </w:r>
          </w:p>
          <w:p w14:paraId="0B6E80E1">
            <w:pPr>
              <w:numPr>
                <w:ilvl w:val="0"/>
                <w:numId w:val="7"/>
              </w:numPr>
              <w:spacing w:before="120" w:after="120"/>
            </w:pPr>
            <w:r>
              <w:t>MS 21: Food and food processing units – Code of hygienic conditions</w:t>
            </w:r>
          </w:p>
          <w:p w14:paraId="3F370597">
            <w:pPr>
              <w:numPr>
                <w:ilvl w:val="0"/>
                <w:numId w:val="7"/>
              </w:numPr>
              <w:spacing w:before="120" w:after="120"/>
            </w:pPr>
            <w:r>
              <w:t>MS 188: Edible salt – Specification</w:t>
            </w:r>
          </w:p>
          <w:p w14:paraId="6B82B7C6">
            <w:pPr>
              <w:numPr>
                <w:ilvl w:val="0"/>
                <w:numId w:val="7"/>
              </w:numPr>
              <w:spacing w:before="120" w:after="120"/>
            </w:pPr>
            <w:r>
              <w:t>MS 302: Contaminants and toxins in food – General standard</w:t>
            </w:r>
          </w:p>
          <w:p w14:paraId="28A68B6A">
            <w:pPr>
              <w:numPr>
                <w:ilvl w:val="0"/>
                <w:numId w:val="7"/>
              </w:numPr>
              <w:spacing w:before="120" w:after="120"/>
            </w:pPr>
            <w:r>
              <w:t>MS 461: Raw cashew kernels – Specification</w:t>
            </w:r>
          </w:p>
          <w:p w14:paraId="00A03398">
            <w:pPr>
              <w:numPr>
                <w:ilvl w:val="0"/>
                <w:numId w:val="7"/>
              </w:numPr>
              <w:spacing w:before="120" w:after="120"/>
            </w:pPr>
            <w:r>
              <w:t>MS 624: Nutrition labelling – Requirements</w:t>
            </w:r>
          </w:p>
          <w:p w14:paraId="37D5A50A">
            <w:pPr>
              <w:numPr>
                <w:ilvl w:val="0"/>
                <w:numId w:val="7"/>
              </w:numPr>
              <w:spacing w:before="120" w:after="120"/>
            </w:pPr>
            <w:r>
              <w:t>MS 625: Use of nutrition and health claims – requirements</w:t>
            </w:r>
          </w:p>
          <w:p w14:paraId="647CA380">
            <w:pPr>
              <w:numPr>
                <w:ilvl w:val="0"/>
                <w:numId w:val="7"/>
              </w:numPr>
              <w:spacing w:before="120" w:after="120"/>
            </w:pPr>
            <w:r>
              <w:t>MS 1756: Oilseeds – Determination of moisture and volatile matter</w:t>
            </w:r>
          </w:p>
          <w:p w14:paraId="09A0EF6C">
            <w:pPr>
              <w:numPr>
                <w:ilvl w:val="0"/>
                <w:numId w:val="7"/>
              </w:numPr>
              <w:spacing w:before="120" w:after="120"/>
            </w:pPr>
            <w:r>
              <w:t>MS 1784: Oilseeds – Determination of acidity of oils</w:t>
            </w:r>
          </w:p>
          <w:p w14:paraId="115FF764">
            <w:pPr>
              <w:numPr>
                <w:ilvl w:val="0"/>
                <w:numId w:val="7"/>
              </w:numPr>
              <w:spacing w:before="120" w:after="120"/>
            </w:pPr>
            <w:r>
              <w:t>MS 2046: Roasted cashew kernels – Specification</w:t>
            </w:r>
          </w:p>
          <w:p w14:paraId="39A8F281">
            <w:pPr>
              <w:numPr>
                <w:ilvl w:val="0"/>
                <w:numId w:val="7"/>
              </w:numPr>
              <w:spacing w:before="120" w:after="120"/>
            </w:pPr>
            <w:r>
              <w:t>ISO 735: Oilseed residues – Determination of ash insoluble in hydrochloric acid</w:t>
            </w:r>
          </w:p>
          <w:p w14:paraId="25A368D3">
            <w:pPr>
              <w:numPr>
                <w:ilvl w:val="0"/>
                <w:numId w:val="7"/>
              </w:numPr>
              <w:spacing w:before="120" w:after="120"/>
            </w:pPr>
            <w:r>
              <w:t>ISO 5555: Animal and vegetable fats and oils – Sampling</w:t>
            </w:r>
          </w:p>
          <w:p w14:paraId="20BF63CC">
            <w:pPr>
              <w:numPr>
                <w:ilvl w:val="0"/>
                <w:numId w:val="7"/>
              </w:numPr>
              <w:spacing w:before="120" w:after="120"/>
            </w:pPr>
            <w:r>
              <w:t>ISO 6884: Animal and vegetable fats and oils – Determination of ash</w:t>
            </w:r>
          </w:p>
          <w:p w14:paraId="006609C7">
            <w:pPr>
              <w:numPr>
                <w:ilvl w:val="0"/>
                <w:numId w:val="7"/>
              </w:numPr>
              <w:spacing w:before="120" w:after="120"/>
            </w:pPr>
            <w:r>
              <w:t>ISO 16050: Foodstuffs – Determination of aflatoxin B1, and the total content of aflatoxins B1, B2, G1 and G2</w:t>
            </w:r>
          </w:p>
          <w:p w14:paraId="7A7E3A0D">
            <w:pPr>
              <w:spacing w:before="120" w:after="120"/>
              <w:ind w:left="720"/>
            </w:pPr>
            <w:r>
              <w:t>in cereals, nuts and derived products – High-performance liquid chromatographic method</w:t>
            </w:r>
          </w:p>
          <w:p w14:paraId="0DE221D1">
            <w:pPr>
              <w:numPr>
                <w:ilvl w:val="0"/>
                <w:numId w:val="7"/>
              </w:numPr>
              <w:spacing w:before="120" w:after="120"/>
              <w:ind w:left="720" w:leftChars="0" w:hanging="360" w:firstLineChars="0"/>
            </w:pPr>
            <w:r>
              <w:t>ISO 16654, Microbiology of food and animal feeding stuffs – Horizontal method for the detection of Escherichia coli O157</w:t>
            </w:r>
          </w:p>
        </w:tc>
      </w:tr>
      <w:bookmarkEnd w:id="10"/>
      <w:tr w14:paraId="040F5C2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7F7B7286">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3DE57ECF">
            <w:pPr>
              <w:spacing w:before="120" w:after="120"/>
            </w:pPr>
            <w:r>
              <w:rPr>
                <w:b/>
              </w:rPr>
              <w:t>Proposed date of adoption:</w:t>
            </w:r>
            <w:r>
              <w:t xml:space="preserve"> To be determined</w:t>
            </w:r>
          </w:p>
          <w:p w14:paraId="283E960E">
            <w:pPr>
              <w:spacing w:after="120"/>
            </w:pPr>
            <w:r>
              <w:rPr>
                <w:b/>
              </w:rPr>
              <w:t>Proposed date of entry into force:</w:t>
            </w:r>
            <w:r>
              <w:t xml:space="preserve"> To be determined</w:t>
            </w:r>
          </w:p>
        </w:tc>
      </w:tr>
      <w:tr w14:paraId="1877D01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C4FC997">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ACD3D01">
            <w:pPr>
              <w:spacing w:before="120" w:after="120"/>
              <w:rPr>
                <w:rFonts w:hint="eastAsia" w:eastAsia="宋体"/>
                <w:bCs/>
                <w:lang w:eastAsia="zh-CN"/>
              </w:rPr>
            </w:pPr>
            <w:r>
              <w:rPr>
                <w:b/>
              </w:rPr>
              <w:t>Final date for comments:</w:t>
            </w:r>
            <w:r>
              <w:t xml:space="preserve"> 21 September 2025</w:t>
            </w:r>
            <w:r>
              <w:rPr>
                <w:rFonts w:hint="eastAsia" w:eastAsia="宋体"/>
                <w:lang w:eastAsia="zh-CN"/>
              </w:rPr>
              <w:t>；</w:t>
            </w:r>
          </w:p>
          <w:p w14:paraId="1EAA1499">
            <w:pPr>
              <w:tabs>
                <w:tab w:val="left" w:pos="1418"/>
                <w:tab w:val="left" w:pos="2127"/>
                <w:tab w:val="left" w:pos="2835"/>
                <w:tab w:val="left" w:pos="3402"/>
              </w:tabs>
              <w:spacing w:before="120" w:after="120"/>
              <w:rPr>
                <w:rFonts w:hint="eastAsia" w:eastAsia="宋体"/>
                <w:b/>
                <w:bCs/>
                <w:lang w:eastAsia="zh-CN"/>
              </w:rPr>
            </w:pPr>
            <w:r>
              <w:rPr>
                <w:b/>
                <w:bCs/>
              </w:rPr>
              <w:t>[X] 60 days from notification</w:t>
            </w:r>
            <w:r>
              <w:t xml:space="preserve"> </w:t>
            </w:r>
            <w:r>
              <w:rPr>
                <w:rFonts w:hint="eastAsia" w:eastAsia="宋体"/>
                <w:lang w:eastAsia="zh-CN"/>
              </w:rPr>
              <w:t>；</w:t>
            </w:r>
          </w:p>
          <w:p w14:paraId="7DE50520">
            <w:pPr>
              <w:spacing w:before="120" w:after="120"/>
            </w:pPr>
            <w:r>
              <w:rPr>
                <w:b/>
                <w:bCs/>
              </w:rPr>
              <w:t>Contact details of agency or authority designated to handle comments regarding the notification:</w:t>
            </w:r>
            <w:r>
              <w:t xml:space="preserve"> </w:t>
            </w:r>
          </w:p>
          <w:p w14:paraId="56028AC5">
            <w:r>
              <w:t>Director General</w:t>
            </w:r>
          </w:p>
          <w:p w14:paraId="3A928201">
            <w:r>
              <w:t>Malawi Bureau of Standards</w:t>
            </w:r>
          </w:p>
          <w:p w14:paraId="2192436C">
            <w:r>
              <w:t>P.O. Box 946</w:t>
            </w:r>
          </w:p>
          <w:p w14:paraId="4AF5414E">
            <w:r>
              <w:t>Blantyre,Malawi</w:t>
            </w:r>
          </w:p>
          <w:p w14:paraId="3DD71F28">
            <w:r>
              <w:t>Tel: + 265 887376 444</w:t>
            </w:r>
          </w:p>
          <w:p w14:paraId="00D328DD">
            <w:r>
              <w:t>Fax: + 265 1870 756</w:t>
            </w:r>
          </w:p>
          <w:p w14:paraId="4387E8EF">
            <w:pPr>
              <w:spacing w:before="120" w:after="120"/>
            </w:pPr>
            <w:r>
              <w:t xml:space="preserve">E-mail: </w:t>
            </w:r>
            <w:r>
              <w:fldChar w:fldCharType="begin"/>
            </w:r>
            <w:r>
              <w:instrText xml:space="preserve"> HYPERLINK "mailto:info@mbsmw.org" </w:instrText>
            </w:r>
            <w:r>
              <w:fldChar w:fldCharType="separate"/>
            </w:r>
            <w:r>
              <w:rPr>
                <w:color w:val="0000FF"/>
                <w:u w:val="single"/>
              </w:rPr>
              <w:t>info@mbsmw.org</w:t>
            </w:r>
            <w:r>
              <w:rPr>
                <w:color w:val="0000FF"/>
                <w:u w:val="single"/>
              </w:rPr>
              <w:fldChar w:fldCharType="end"/>
            </w:r>
          </w:p>
        </w:tc>
      </w:tr>
      <w:tr w14:paraId="3CC0F5A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775D20D">
            <w:pPr>
              <w:keepNext/>
              <w:keepLines/>
              <w:spacing w:before="120" w:after="120"/>
              <w:jc w:val="left"/>
              <w:rPr>
                <w:b/>
              </w:rPr>
            </w:pPr>
            <w:r>
              <w:rPr>
                <w:b/>
              </w:rPr>
              <w:t>11.</w:t>
            </w:r>
          </w:p>
        </w:tc>
        <w:tc>
          <w:tcPr>
            <w:tcW w:w="8546" w:type="dxa"/>
            <w:tcBorders>
              <w:top w:val="single" w:color="auto" w:sz="6" w:space="0"/>
            </w:tcBorders>
            <w:shd w:val="clear" w:color="auto" w:fill="auto"/>
          </w:tcPr>
          <w:p w14:paraId="0E080734">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4D088EFF">
            <w:pPr>
              <w:rPr>
                <w:iCs/>
              </w:rPr>
            </w:pPr>
            <w:r>
              <w:rPr>
                <w:iCs/>
              </w:rPr>
              <w:t>Director General</w:t>
            </w:r>
          </w:p>
          <w:p w14:paraId="5C62A62D">
            <w:pPr>
              <w:rPr>
                <w:iCs/>
              </w:rPr>
            </w:pPr>
            <w:r>
              <w:rPr>
                <w:iCs/>
              </w:rPr>
              <w:t>Malawi Bureau of Standards</w:t>
            </w:r>
          </w:p>
          <w:p w14:paraId="4F8DE882">
            <w:pPr>
              <w:rPr>
                <w:iCs/>
              </w:rPr>
            </w:pPr>
            <w:r>
              <w:rPr>
                <w:iCs/>
              </w:rPr>
              <w:t>P.O Box 946</w:t>
            </w:r>
          </w:p>
          <w:p w14:paraId="121DAD1A">
            <w:pPr>
              <w:rPr>
                <w:iCs/>
              </w:rPr>
            </w:pPr>
            <w:r>
              <w:rPr>
                <w:iCs/>
              </w:rPr>
              <w:t>Blantyre,Malawi</w:t>
            </w:r>
          </w:p>
          <w:p w14:paraId="17868B2D">
            <w:pPr>
              <w:rPr>
                <w:iCs/>
              </w:rPr>
            </w:pPr>
            <w:r>
              <w:rPr>
                <w:iCs/>
              </w:rPr>
              <w:t>Tel: + 265 887376 444</w:t>
            </w:r>
          </w:p>
          <w:p w14:paraId="1F95F0D3">
            <w:pPr>
              <w:rPr>
                <w:iCs/>
              </w:rPr>
            </w:pPr>
            <w:r>
              <w:rPr>
                <w:iCs/>
              </w:rPr>
              <w:t>Fax: + 265 1870 756</w:t>
            </w:r>
          </w:p>
          <w:p w14:paraId="25643420">
            <w:pPr>
              <w:numPr>
                <w:ilvl w:val="0"/>
                <w:numId w:val="8"/>
              </w:numPr>
              <w:pBdr>
                <w:top w:val="none" w:color="auto" w:sz="0" w:space="4"/>
                <w:bottom w:val="none" w:color="auto" w:sz="0" w:space="4"/>
              </w:pBdr>
              <w:rPr>
                <w:iCs/>
                <w:color w:val="0000FF"/>
                <w:u w:val="single"/>
              </w:rPr>
            </w:pPr>
            <w:r>
              <w:rPr>
                <w:iCs/>
              </w:rPr>
              <w:t xml:space="preserve">mail: </w:t>
            </w:r>
            <w:r>
              <w:fldChar w:fldCharType="begin"/>
            </w:r>
            <w:r>
              <w:instrText xml:space="preserve"> HYPERLINK "mailto:info@mbsmw.org" </w:instrText>
            </w:r>
            <w:r>
              <w:fldChar w:fldCharType="separate"/>
            </w:r>
            <w:r>
              <w:rPr>
                <w:iCs/>
                <w:color w:val="0000FF"/>
                <w:u w:val="single"/>
              </w:rPr>
              <w:t>info@mbsmw.org</w:t>
            </w:r>
            <w:r>
              <w:rPr>
                <w:iCs/>
                <w:color w:val="0000FF"/>
                <w:u w:val="single"/>
              </w:rPr>
              <w:fldChar w:fldCharType="end"/>
            </w:r>
          </w:p>
          <w:p w14:paraId="23F70027">
            <w:pPr>
              <w:pBdr>
                <w:top w:val="none" w:color="auto" w:sz="0" w:space="4"/>
                <w:bottom w:val="none" w:color="auto" w:sz="0" w:space="4"/>
              </w:pBdr>
            </w:pPr>
          </w:p>
          <w:p w14:paraId="5E0F9E62">
            <w:pPr>
              <w:pBdr>
                <w:top w:val="none" w:color="auto" w:sz="0" w:space="4"/>
                <w:bottom w:val="none" w:color="auto" w:sz="0" w:space="4"/>
              </w:pBdr>
              <w:rPr>
                <w:iCs/>
              </w:rPr>
            </w:pPr>
            <w:r>
              <w:fldChar w:fldCharType="begin"/>
            </w:r>
            <w:r>
              <w:instrText xml:space="preserve"> HYPERLINK "https://members.wto.org/crnattachments/2025/TBT/MWI/25_04763_00_e.pdf" \t "_blank" </w:instrText>
            </w:r>
            <w:r>
              <w:fldChar w:fldCharType="separate"/>
            </w:r>
            <w:r>
              <w:rPr>
                <w:iCs/>
                <w:color w:val="0000FF"/>
                <w:u w:val="single"/>
              </w:rPr>
              <w:t>https://members.wto.org/crnattachments/2025/TBT/MWI/25_04763_00_e.pdf</w:t>
            </w:r>
            <w:r>
              <w:rPr>
                <w:iCs/>
                <w:color w:val="0000FF"/>
                <w:u w:val="single"/>
              </w:rPr>
              <w:fldChar w:fldCharType="end"/>
            </w:r>
          </w:p>
          <w:p w14:paraId="6B98000E">
            <w:pPr>
              <w:keepNext/>
              <w:keepLines/>
              <w:numPr>
                <w:ilvl w:val="0"/>
                <w:numId w:val="0"/>
              </w:numPr>
              <w:pBdr>
                <w:top w:val="none" w:color="auto" w:sz="0" w:space="4"/>
              </w:pBdr>
              <w:spacing w:after="120"/>
              <w:jc w:val="both"/>
              <w:rPr>
                <w:iCs/>
                <w:color w:val="0000FF"/>
                <w:u w:val="single"/>
              </w:rPr>
            </w:pPr>
          </w:p>
        </w:tc>
      </w:tr>
    </w:tbl>
    <w:p w14:paraId="4C2CC8C6"/>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A6DE4">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AD2B1">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FE5A1">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6BD73">
    <w:pPr>
      <w:pStyle w:val="58"/>
      <w:pBdr>
        <w:bottom w:val="single" w:color="auto" w:sz="4" w:space="1"/>
      </w:pBdr>
      <w:tabs>
        <w:tab w:val="clear" w:pos="4513"/>
        <w:tab w:val="clear" w:pos="9027"/>
      </w:tabs>
      <w:jc w:val="center"/>
    </w:pPr>
    <w:bookmarkStart w:id="9" w:name="spsSymbolHeader"/>
    <w:r>
      <w:t>G/TBT/N/MWI/191</w:t>
    </w:r>
    <w:bookmarkEnd w:id="9"/>
  </w:p>
  <w:p w14:paraId="7F5ECDE6">
    <w:pPr>
      <w:pStyle w:val="58"/>
      <w:pBdr>
        <w:bottom w:val="single" w:color="auto" w:sz="4" w:space="1"/>
      </w:pBdr>
      <w:tabs>
        <w:tab w:val="clear" w:pos="4513"/>
        <w:tab w:val="clear" w:pos="9027"/>
      </w:tabs>
      <w:jc w:val="center"/>
    </w:pPr>
  </w:p>
  <w:p w14:paraId="730DEAA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77F13EC5">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D912B">
    <w:pPr>
      <w:pStyle w:val="58"/>
      <w:pBdr>
        <w:bottom w:val="single" w:color="auto" w:sz="4" w:space="1"/>
      </w:pBdr>
      <w:tabs>
        <w:tab w:val="clear" w:pos="4513"/>
        <w:tab w:val="clear" w:pos="9027"/>
      </w:tabs>
      <w:jc w:val="center"/>
    </w:pPr>
    <w:r>
      <w:t>tbtSymbol</w:t>
    </w:r>
  </w:p>
  <w:p w14:paraId="2276F7F0">
    <w:pPr>
      <w:pStyle w:val="58"/>
      <w:pBdr>
        <w:bottom w:val="single" w:color="auto" w:sz="4" w:space="1"/>
      </w:pBdr>
      <w:tabs>
        <w:tab w:val="clear" w:pos="4513"/>
        <w:tab w:val="clear" w:pos="9027"/>
      </w:tabs>
      <w:jc w:val="center"/>
    </w:pPr>
  </w:p>
  <w:p w14:paraId="4912797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4C9DA49">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56EEA22">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2E7FF57">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93B5D15">
          <w:pPr>
            <w:jc w:val="right"/>
            <w:rPr>
              <w:b/>
              <w:color w:val="FF0000"/>
              <w:szCs w:val="16"/>
            </w:rPr>
          </w:pPr>
        </w:p>
      </w:tc>
    </w:tr>
    <w:bookmarkEnd w:id="0"/>
    <w:tr w14:paraId="46F70A90">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2B18D32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72692681">
          <w:pPr>
            <w:jc w:val="right"/>
            <w:rPr>
              <w:b/>
              <w:szCs w:val="16"/>
            </w:rPr>
          </w:pPr>
        </w:p>
      </w:tc>
    </w:tr>
    <w:tr w14:paraId="48EEC0A1">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E5D1F24">
          <w:pPr>
            <w:jc w:val="left"/>
            <w:rPr>
              <w:lang w:eastAsia="en-GB"/>
            </w:rPr>
          </w:pPr>
        </w:p>
      </w:tc>
      <w:tc>
        <w:tcPr>
          <w:tcW w:w="5448" w:type="dxa"/>
          <w:gridSpan w:val="2"/>
          <w:shd w:val="clear" w:color="auto" w:fill="FFFFFF"/>
          <w:tcMar>
            <w:left w:w="108" w:type="dxa"/>
            <w:right w:w="108" w:type="dxa"/>
          </w:tcMar>
        </w:tcPr>
        <w:p w14:paraId="25805FFA">
          <w:pPr>
            <w:jc w:val="right"/>
            <w:rPr>
              <w:rFonts w:hint="eastAsia" w:eastAsia="宋体"/>
              <w:b/>
              <w:szCs w:val="16"/>
              <w:lang w:val="en-US" w:eastAsia="zh-CN"/>
            </w:rPr>
          </w:pPr>
          <w:bookmarkStart w:id="1" w:name="bmkSymbols"/>
          <w:r>
            <w:rPr>
              <w:b/>
              <w:szCs w:val="16"/>
            </w:rPr>
            <w:t>G/TBT/N/MWI/</w:t>
          </w:r>
          <w:r>
            <w:rPr>
              <w:rFonts w:hint="eastAsia" w:eastAsia="宋体"/>
              <w:b/>
              <w:szCs w:val="16"/>
              <w:lang w:val="en-US" w:eastAsia="zh-CN"/>
            </w:rPr>
            <w:t>2</w:t>
          </w:r>
          <w:bookmarkEnd w:id="1"/>
          <w:r>
            <w:rPr>
              <w:rFonts w:hint="eastAsia" w:eastAsia="宋体"/>
              <w:b/>
              <w:szCs w:val="16"/>
              <w:lang w:val="en-US" w:eastAsia="zh-CN"/>
            </w:rPr>
            <w:t>26</w:t>
          </w:r>
        </w:p>
      </w:tc>
    </w:tr>
    <w:tr w14:paraId="72C6D265">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A60ACEB"/>
      </w:tc>
      <w:tc>
        <w:tcPr>
          <w:tcW w:w="5448" w:type="dxa"/>
          <w:gridSpan w:val="2"/>
          <w:shd w:val="clear" w:color="auto" w:fill="FFFFFF"/>
          <w:tcMar>
            <w:left w:w="108" w:type="dxa"/>
            <w:right w:w="108" w:type="dxa"/>
          </w:tcMar>
          <w:vAlign w:val="center"/>
        </w:tcPr>
        <w:p w14:paraId="39D67156">
          <w:pPr>
            <w:jc w:val="right"/>
            <w:rPr>
              <w:szCs w:val="16"/>
            </w:rPr>
          </w:pPr>
          <w:bookmarkStart w:id="2" w:name="bmkDate"/>
          <w:bookmarkStart w:id="3" w:name="spsDateDistribution"/>
          <w:r>
            <w:rPr>
              <w:szCs w:val="16"/>
            </w:rPr>
            <w:t>23 July 2025</w:t>
          </w:r>
          <w:bookmarkEnd w:id="2"/>
          <w:bookmarkEnd w:id="3"/>
        </w:p>
      </w:tc>
    </w:tr>
    <w:tr w14:paraId="5B583C63">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50826AF2">
          <w:pPr>
            <w:jc w:val="left"/>
            <w:rPr>
              <w:b/>
            </w:rPr>
          </w:pPr>
          <w:bookmarkStart w:id="4" w:name="bmkSerial"/>
          <w:r>
            <w:rPr>
              <w:b w:val="0"/>
              <w:color w:val="FF0000"/>
            </w:rPr>
            <w:t>(25-</w:t>
          </w:r>
          <w:r>
            <w:rPr>
              <w:rFonts w:hint="eastAsia" w:eastAsia="宋体"/>
              <w:b w:val="0"/>
              <w:color w:val="FF0000"/>
              <w:lang w:val="en-US" w:eastAsia="zh-CN"/>
            </w:rPr>
            <w:t>4728</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364DA24D">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02F6FCD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631188B1">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32B5C944">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584D7980">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72AAE4"/>
    <w:multiLevelType w:val="singleLevel"/>
    <w:tmpl w:val="B372AAE4"/>
    <w:lvl w:ilvl="0" w:tentative="0">
      <w:start w:val="5"/>
      <w:numFmt w:val="upperLetter"/>
      <w:suff w:val="nothing"/>
      <w:lvlText w:val="%1-"/>
      <w:lvlJc w:val="left"/>
    </w:lvl>
  </w:abstractNum>
  <w:abstractNum w:abstractNumId="1">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2">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3">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4">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5">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6">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7">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3"/>
  </w:num>
  <w:num w:numId="2">
    <w:abstractNumId w:val="4"/>
  </w:num>
  <w:num w:numId="3">
    <w:abstractNumId w:val="1"/>
  </w:num>
  <w:num w:numId="4">
    <w:abstractNumId w:val="5"/>
  </w:num>
  <w:num w:numId="5">
    <w:abstractNumId w:val="2"/>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B3961"/>
    <w:rsid w:val="001E291F"/>
    <w:rsid w:val="00204CC3"/>
    <w:rsid w:val="00205F1B"/>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20D2"/>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A2E"/>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2280"/>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1F41"/>
    <w:rsid w:val="00C3241C"/>
    <w:rsid w:val="00C379C8"/>
    <w:rsid w:val="00C40E47"/>
    <w:rsid w:val="00C43456"/>
    <w:rsid w:val="00C43F2C"/>
    <w:rsid w:val="00C46583"/>
    <w:rsid w:val="00C47FCA"/>
    <w:rsid w:val="00C51B50"/>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9FD3055"/>
    <w:rsid w:val="0CB72258"/>
    <w:rsid w:val="11A91090"/>
    <w:rsid w:val="271C2E32"/>
    <w:rsid w:val="276F5B41"/>
    <w:rsid w:val="29F74D37"/>
    <w:rsid w:val="3E761725"/>
    <w:rsid w:val="4132417F"/>
    <w:rsid w:val="4E902E4B"/>
    <w:rsid w:val="579C6EAE"/>
    <w:rsid w:val="6EE15801"/>
    <w:rsid w:val="76FF73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D52AF7-CC45-4544-ABF0-B16A717200BC}">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624</Words>
  <Characters>3476</Characters>
  <Lines>23</Lines>
  <Paragraphs>6</Paragraphs>
  <TotalTime>0</TotalTime>
  <ScaleCrop>false</ScaleCrop>
  <LinksUpToDate>false</LinksUpToDate>
  <CharactersWithSpaces>4039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2025-06-10T14:13:00Z</dcterms:created>
  <dc:creator>mark louie medidas</dc:creator>
  <dc:description>LDIMD - DTU</dc:description>
  <cp:lastModifiedBy> 譞譞</cp:lastModifiedBy>
  <dcterms:modified xsi:type="dcterms:W3CDTF">2025-07-23T16:59:11Z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A4DFA33984334C98BDC7C25919D49BD8_12</vt:lpwstr>
  </property>
</Properties>
</file>