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Fresh or dried cashew nuts, shelled (HS code(s): 080132); Oilseeds (ICS code(s): 67.200.20)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4170B07C">
            <w:pPr>
              <w:spacing w:before="120" w:after="120"/>
            </w:pPr>
            <w:r>
              <w:rPr>
                <w:b/>
              </w:rPr>
              <w:t>Title, number of pages and language(s) of the notified document:</w:t>
            </w:r>
            <w:r>
              <w:t xml:space="preserve"> DMS 2046:2024: Roasted cashew kernels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sampling and test methods for roasted cashew kernels obtained from nuts of cashew tree (</w:t>
            </w:r>
            <w:r>
              <w:rPr>
                <w:i/>
                <w:iCs/>
              </w:rPr>
              <w:t>Anacardium occidentale,</w:t>
            </w:r>
            <w:r>
              <w:t xml:space="preserve"> L) intended for human consumption.</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9C852C0">
            <w:pPr>
              <w:spacing w:before="120" w:after="120"/>
              <w:rPr>
                <w:bCs/>
              </w:rPr>
            </w:pPr>
            <w:r>
              <w:rPr>
                <w:b/>
              </w:rPr>
              <w:t>Relevant documents:</w:t>
            </w:r>
            <w:r>
              <w:t xml:space="preserve"> </w:t>
            </w:r>
          </w:p>
          <w:p w14:paraId="5797B845">
            <w:pPr>
              <w:numPr>
                <w:ilvl w:val="0"/>
                <w:numId w:val="7"/>
              </w:numPr>
              <w:spacing w:before="120" w:after="120"/>
            </w:pPr>
            <w:r>
              <w:t xml:space="preserve">MS 19-1: </w:t>
            </w:r>
            <w:r>
              <w:rPr>
                <w:i/>
                <w:iCs/>
              </w:rPr>
              <w:t>Labeling of foods – General standard, Part 1: Prepackaged foods</w:t>
            </w:r>
          </w:p>
          <w:p w14:paraId="79E6AB94">
            <w:pPr>
              <w:numPr>
                <w:ilvl w:val="0"/>
                <w:numId w:val="7"/>
              </w:numPr>
              <w:spacing w:before="120" w:after="120"/>
            </w:pPr>
            <w:r>
              <w:t>MS 19-2:</w:t>
            </w:r>
            <w:r>
              <w:rPr>
                <w:i/>
                <w:iCs/>
              </w:rPr>
              <w:t xml:space="preserve"> Labelling of foods – General standard, Part 2: Non-retail containers of food</w:t>
            </w:r>
          </w:p>
          <w:p w14:paraId="25633D6E">
            <w:pPr>
              <w:numPr>
                <w:ilvl w:val="0"/>
                <w:numId w:val="7"/>
              </w:numPr>
              <w:spacing w:before="120" w:after="120"/>
            </w:pPr>
            <w:r>
              <w:t>MS 21:</w:t>
            </w:r>
            <w:r>
              <w:rPr>
                <w:i/>
                <w:iCs/>
              </w:rPr>
              <w:t xml:space="preserve"> Food and food processing units – Code of hygienic conditions</w:t>
            </w:r>
          </w:p>
          <w:p w14:paraId="6159B177">
            <w:pPr>
              <w:numPr>
                <w:ilvl w:val="0"/>
                <w:numId w:val="7"/>
              </w:numPr>
              <w:spacing w:before="120" w:after="120"/>
            </w:pPr>
            <w:r>
              <w:t>MS 188:</w:t>
            </w:r>
            <w:r>
              <w:rPr>
                <w:i/>
                <w:iCs/>
              </w:rPr>
              <w:t xml:space="preserve"> Edible salt – Specification</w:t>
            </w:r>
          </w:p>
          <w:p w14:paraId="2314A25D">
            <w:pPr>
              <w:numPr>
                <w:ilvl w:val="0"/>
                <w:numId w:val="7"/>
              </w:numPr>
              <w:spacing w:before="120" w:after="120"/>
            </w:pPr>
            <w:r>
              <w:t xml:space="preserve">MS 302: </w:t>
            </w:r>
            <w:r>
              <w:rPr>
                <w:i/>
                <w:iCs/>
              </w:rPr>
              <w:t>Contaminants and toxins in food – General standard</w:t>
            </w:r>
          </w:p>
          <w:p w14:paraId="20ACD88A">
            <w:pPr>
              <w:numPr>
                <w:ilvl w:val="0"/>
                <w:numId w:val="7"/>
              </w:numPr>
              <w:spacing w:before="120" w:after="120"/>
            </w:pPr>
            <w:r>
              <w:t>MS 461:</w:t>
            </w:r>
            <w:r>
              <w:rPr>
                <w:i/>
                <w:iCs/>
              </w:rPr>
              <w:t xml:space="preserve"> Raw cashew kernels</w:t>
            </w:r>
          </w:p>
          <w:p w14:paraId="73129D83">
            <w:pPr>
              <w:numPr>
                <w:ilvl w:val="0"/>
                <w:numId w:val="7"/>
              </w:numPr>
              <w:spacing w:before="120" w:after="120"/>
            </w:pPr>
            <w:r>
              <w:t>MS 624:</w:t>
            </w:r>
            <w:r>
              <w:rPr>
                <w:i/>
                <w:iCs/>
              </w:rPr>
              <w:t xml:space="preserve"> Nutrition labelling – Requirements</w:t>
            </w:r>
          </w:p>
          <w:p w14:paraId="55B683ED">
            <w:pPr>
              <w:numPr>
                <w:ilvl w:val="0"/>
                <w:numId w:val="7"/>
              </w:numPr>
              <w:spacing w:before="120" w:after="120"/>
            </w:pPr>
            <w:r>
              <w:t>MS 625:</w:t>
            </w:r>
            <w:r>
              <w:rPr>
                <w:i/>
                <w:iCs/>
              </w:rPr>
              <w:t xml:space="preserve"> Use of nutrition and health claims – Requirements</w:t>
            </w:r>
          </w:p>
          <w:p w14:paraId="0FF8A3BA">
            <w:pPr>
              <w:numPr>
                <w:ilvl w:val="0"/>
                <w:numId w:val="7"/>
              </w:numPr>
              <w:spacing w:before="120" w:after="120"/>
            </w:pPr>
            <w:r>
              <w:t xml:space="preserve">MS 1757: </w:t>
            </w:r>
            <w:r>
              <w:rPr>
                <w:i/>
                <w:iCs/>
              </w:rPr>
              <w:t>Oilseeds – Sampling</w:t>
            </w:r>
          </w:p>
          <w:p w14:paraId="5316C71C">
            <w:pPr>
              <w:numPr>
                <w:ilvl w:val="0"/>
                <w:numId w:val="7"/>
              </w:numPr>
              <w:spacing w:before="120" w:after="120"/>
            </w:pPr>
            <w:r>
              <w:t xml:space="preserve">MS 1756: </w:t>
            </w:r>
            <w:r>
              <w:rPr>
                <w:i/>
                <w:iCs/>
              </w:rPr>
              <w:t>Oilseeds – Determination of moisture and volatile matter content</w:t>
            </w:r>
          </w:p>
          <w:p w14:paraId="0C548C77">
            <w:pPr>
              <w:numPr>
                <w:ilvl w:val="0"/>
                <w:numId w:val="7"/>
              </w:numPr>
              <w:spacing w:before="120" w:after="120"/>
            </w:pPr>
            <w:r>
              <w:rPr>
                <w:i/>
                <w:iCs/>
              </w:rPr>
              <w:t>MS 1780: Oilseeds – Determination of oil content (reference method)</w:t>
            </w:r>
          </w:p>
          <w:p w14:paraId="2BA6A8EF">
            <w:pPr>
              <w:numPr>
                <w:ilvl w:val="0"/>
                <w:numId w:val="7"/>
              </w:numPr>
              <w:spacing w:before="120" w:after="120"/>
            </w:pPr>
            <w:r>
              <w:t>MS 1784:</w:t>
            </w:r>
            <w:r>
              <w:rPr>
                <w:i/>
                <w:iCs/>
              </w:rPr>
              <w:t xml:space="preserve"> Oilseeds – Determination of acidity of oils</w:t>
            </w:r>
          </w:p>
          <w:p w14:paraId="40BD767C">
            <w:pPr>
              <w:numPr>
                <w:ilvl w:val="0"/>
                <w:numId w:val="7"/>
              </w:numPr>
              <w:spacing w:before="120" w:after="120"/>
            </w:pPr>
            <w:r>
              <w:t>ISO 735:</w:t>
            </w:r>
            <w:r>
              <w:rPr>
                <w:i/>
                <w:iCs/>
              </w:rPr>
              <w:t xml:space="preserve"> Oilseed residues – Determination of ash insoluble in hydrochloric acid</w:t>
            </w:r>
          </w:p>
          <w:p w14:paraId="23F9D982">
            <w:pPr>
              <w:numPr>
                <w:ilvl w:val="0"/>
                <w:numId w:val="7"/>
              </w:numPr>
              <w:spacing w:before="120" w:after="120"/>
            </w:pPr>
            <w:r>
              <w:t>ISO 4831:</w:t>
            </w:r>
            <w:r>
              <w:rPr>
                <w:i/>
                <w:iCs/>
              </w:rPr>
              <w:t xml:space="preserve"> Microbiology of food and animal feeding stuffs -- Horizontal method for the detection and enumeration of coliforms -- Most probable number technique</w:t>
            </w:r>
          </w:p>
          <w:p w14:paraId="5722746A">
            <w:pPr>
              <w:numPr>
                <w:ilvl w:val="0"/>
                <w:numId w:val="7"/>
              </w:numPr>
              <w:spacing w:before="120" w:after="120"/>
            </w:pPr>
            <w:r>
              <w:t>ISO 6579-1:</w:t>
            </w:r>
            <w:r>
              <w:rPr>
                <w:i/>
                <w:iCs/>
              </w:rPr>
              <w:t xml:space="preserve"> Microbiology of the food chain – Horizontal method for the detection, enumeration and serotyping of Salmonella – Part 1: Detection of Salmonella spp.</w:t>
            </w:r>
          </w:p>
          <w:p w14:paraId="7949C552">
            <w:pPr>
              <w:numPr>
                <w:ilvl w:val="0"/>
                <w:numId w:val="7"/>
              </w:numPr>
              <w:spacing w:before="120" w:after="120"/>
            </w:pPr>
            <w:r>
              <w:t>ISO 16050:</w:t>
            </w:r>
            <w:r>
              <w:rPr>
                <w:i/>
                <w:iCs/>
              </w:rPr>
              <w:t xml:space="preserve"> Foodstuffs – Determination of aflatoxin B1, and the total content of aflatoxins B1, B2, G1 and G2 in cereals, nuts and derived products – High-performance liquid chromatographic method</w:t>
            </w:r>
          </w:p>
          <w:p w14:paraId="4D866564">
            <w:pPr>
              <w:numPr>
                <w:ilvl w:val="0"/>
                <w:numId w:val="7"/>
              </w:numPr>
              <w:spacing w:before="120" w:after="120"/>
              <w:ind w:left="720" w:leftChars="0" w:hanging="360" w:firstLineChars="0"/>
            </w:pPr>
            <w:r>
              <w:t xml:space="preserve">ISO 16654: </w:t>
            </w:r>
            <w:r>
              <w:rPr>
                <w:i/>
                <w:iCs/>
              </w:rPr>
              <w:t>Microbiology of food and animal feeding stuffs – Horizontal method for the detection of Escherichia coli O157</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25BB6D43">
            <w:pPr>
              <w:pBdr>
                <w:top w:val="none" w:color="auto" w:sz="0" w:space="4"/>
                <w:bottom w:val="none" w:color="auto" w:sz="0" w:space="4"/>
              </w:pBdr>
              <w:rPr>
                <w:iCs/>
              </w:rPr>
            </w:pPr>
            <w:r>
              <w:fldChar w:fldCharType="begin"/>
            </w:r>
            <w:r>
              <w:instrText xml:space="preserve"> HYPERLINK "https://members.wto.org/crnattachments/2025/TBT/MWI/25_04760_00_e.pdf" \t "_blank" </w:instrText>
            </w:r>
            <w:r>
              <w:fldChar w:fldCharType="separate"/>
            </w:r>
            <w:r>
              <w:rPr>
                <w:iCs/>
                <w:color w:val="0000FF"/>
                <w:u w:val="single"/>
              </w:rPr>
              <w:t>https://members.wto.org/crnattachments/2025/TBT/MWI/25_04760_00_e.pdf</w:t>
            </w:r>
            <w:r>
              <w:rPr>
                <w:iCs/>
                <w:color w:val="0000FF"/>
                <w:u w:val="single"/>
              </w:rPr>
              <w:fldChar w:fldCharType="end"/>
            </w:r>
          </w:p>
          <w:p w14:paraId="384F2B2B">
            <w:pPr>
              <w:keepNext/>
              <w:keepLines/>
              <w:numPr>
                <w:ilvl w:val="0"/>
                <w:numId w:val="0"/>
              </w:numPr>
              <w:pBdr>
                <w:top w:val="none" w:color="auto" w:sz="0" w:space="4"/>
              </w:pBdr>
              <w:spacing w:after="120"/>
              <w:jc w:val="both"/>
              <w:rPr>
                <w:iCs/>
                <w:color w:val="0000FF"/>
                <w:u w:val="single"/>
              </w:rPr>
            </w:pPr>
          </w:p>
        </w:tc>
      </w:tr>
    </w:tbl>
    <w:p w14:paraId="2477A539"/>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23</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spsDateDistribution"/>
          <w:bookmarkStart w:id="3" w:name="bmkDate"/>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4724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71C2E32"/>
    <w:rsid w:val="276F5B41"/>
    <w:rsid w:val="3E761725"/>
    <w:rsid w:val="4E902E4B"/>
    <w:rsid w:val="579C6EAE"/>
    <w:rsid w:val="76FF7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1D52AF7-CC45-4544-ABF0-B16A717200B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523</Words>
  <Characters>2934</Characters>
  <Lines>23</Lines>
  <Paragraphs>6</Paragraphs>
  <TotalTime>0</TotalTime>
  <ScaleCrop>false</ScaleCrop>
  <LinksUpToDate>false</LinksUpToDate>
  <CharactersWithSpaces>3406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2025-07-23T16:52:24Z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